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F8B0D" w14:textId="20E72596" w:rsidR="00FB71F3" w:rsidRDefault="00A6022F" w:rsidP="00B051DA">
      <w:pPr>
        <w:jc w:val="both"/>
      </w:pPr>
      <w:r w:rsidRPr="00056C8D">
        <w:t>Temeljem</w:t>
      </w:r>
      <w:r w:rsidR="00FB71F3" w:rsidRPr="00056C8D">
        <w:t xml:space="preserve"> članka 12. stavka </w:t>
      </w:r>
      <w:r w:rsidR="00184462" w:rsidRPr="00056C8D">
        <w:t>3</w:t>
      </w:r>
      <w:r w:rsidR="00FB71F3" w:rsidRPr="00056C8D">
        <w:t>. Zakona o zaštiti od svjetlosnog onečišćenja („Narodne novine“ broj 14/</w:t>
      </w:r>
      <w:r w:rsidR="007636BE" w:rsidRPr="00056C8D">
        <w:t>20</w:t>
      </w:r>
      <w:r w:rsidR="00FB71F3" w:rsidRPr="00056C8D">
        <w:t xml:space="preserve">19), </w:t>
      </w:r>
      <w:r w:rsidR="00B051DA" w:rsidRPr="00056C8D">
        <w:t xml:space="preserve">te članka 29. Statuta Općine Pakoštane </w:t>
      </w:r>
      <w:bookmarkStart w:id="0" w:name="_Hlk88827002"/>
      <w:r w:rsidR="00B051DA" w:rsidRPr="00056C8D">
        <w:t xml:space="preserve">(„Službeni glasnik Općine Pakoštane“ br. 2/09, 3/09, 2/13, 1/14, 2/18, 1//20 i 1/21) </w:t>
      </w:r>
      <w:bookmarkEnd w:id="0"/>
      <w:r w:rsidR="00B051DA" w:rsidRPr="00056C8D">
        <w:t>Općinsko vijeće Općine Pakoštane, na svojoj</w:t>
      </w:r>
      <w:r w:rsidR="004535BB" w:rsidRPr="00056C8D">
        <w:t xml:space="preserve"> </w:t>
      </w:r>
      <w:r w:rsidR="00B051DA" w:rsidRPr="00056C8D">
        <w:t xml:space="preserve"> </w:t>
      </w:r>
      <w:r w:rsidR="008B0AFE" w:rsidRPr="00056C8D">
        <w:t>___</w:t>
      </w:r>
      <w:r w:rsidR="00B051DA" w:rsidRPr="00056C8D">
        <w:t xml:space="preserve"> sjednici održanoj dana  </w:t>
      </w:r>
      <w:r w:rsidR="008B0AFE" w:rsidRPr="00056C8D">
        <w:t>__</w:t>
      </w:r>
      <w:r w:rsidR="00B051DA" w:rsidRPr="00056C8D">
        <w:t>.</w:t>
      </w:r>
      <w:r w:rsidR="008B0AFE" w:rsidRPr="00056C8D">
        <w:t>________</w:t>
      </w:r>
      <w:r w:rsidR="00B051DA" w:rsidRPr="00056C8D">
        <w:t xml:space="preserve">   202</w:t>
      </w:r>
      <w:r w:rsidR="008B0AFE" w:rsidRPr="00056C8D">
        <w:t>6</w:t>
      </w:r>
      <w:r w:rsidR="00B051DA" w:rsidRPr="00056C8D">
        <w:t>. godine donijelo je</w:t>
      </w:r>
    </w:p>
    <w:p w14:paraId="4A1A97BC" w14:textId="77777777" w:rsidR="00F342BF" w:rsidRPr="00FB71F3" w:rsidRDefault="00F342BF" w:rsidP="00B051DA">
      <w:pPr>
        <w:jc w:val="both"/>
      </w:pPr>
    </w:p>
    <w:p w14:paraId="75DE01E8" w14:textId="6071C0DF" w:rsidR="00FB71F3" w:rsidRPr="00FB71F3" w:rsidRDefault="00FB71F3" w:rsidP="00FB71F3">
      <w:pPr>
        <w:jc w:val="center"/>
        <w:rPr>
          <w:sz w:val="24"/>
          <w:szCs w:val="24"/>
        </w:rPr>
      </w:pPr>
      <w:r w:rsidRPr="00FB71F3">
        <w:rPr>
          <w:b/>
          <w:bCs/>
          <w:sz w:val="24"/>
          <w:szCs w:val="24"/>
        </w:rPr>
        <w:t>ODLUKU</w:t>
      </w:r>
    </w:p>
    <w:p w14:paraId="6BB8DF8D" w14:textId="5665F7FA" w:rsidR="00056C8D" w:rsidRDefault="00FB71F3" w:rsidP="00F342BF">
      <w:pPr>
        <w:jc w:val="center"/>
        <w:rPr>
          <w:b/>
          <w:bCs/>
        </w:rPr>
      </w:pPr>
      <w:r w:rsidRPr="003D0A91">
        <w:rPr>
          <w:b/>
          <w:bCs/>
        </w:rPr>
        <w:t xml:space="preserve">o donošenju Plana rasvjete </w:t>
      </w:r>
      <w:r w:rsidR="00773033">
        <w:rPr>
          <w:b/>
          <w:bCs/>
        </w:rPr>
        <w:t xml:space="preserve">na području </w:t>
      </w:r>
      <w:r w:rsidR="008B0AFE">
        <w:rPr>
          <w:b/>
          <w:bCs/>
        </w:rPr>
        <w:t>Općine Pakoštan</w:t>
      </w:r>
      <w:r w:rsidR="00E855C1">
        <w:rPr>
          <w:b/>
          <w:bCs/>
        </w:rPr>
        <w:t>e</w:t>
      </w:r>
    </w:p>
    <w:p w14:paraId="09A8E859" w14:textId="77777777" w:rsidR="00F342BF" w:rsidRPr="00F342BF" w:rsidRDefault="00F342BF" w:rsidP="00F342BF">
      <w:pPr>
        <w:jc w:val="center"/>
        <w:rPr>
          <w:b/>
          <w:bCs/>
        </w:rPr>
      </w:pPr>
    </w:p>
    <w:p w14:paraId="408F86F8" w14:textId="29B6FA9B" w:rsidR="00FB71F3" w:rsidRPr="00B01764" w:rsidRDefault="00FB71F3" w:rsidP="00FB71F3">
      <w:pPr>
        <w:rPr>
          <w:sz w:val="24"/>
          <w:szCs w:val="24"/>
        </w:rPr>
      </w:pPr>
      <w:r w:rsidRPr="00B01764">
        <w:rPr>
          <w:b/>
          <w:bCs/>
          <w:sz w:val="24"/>
          <w:szCs w:val="24"/>
        </w:rPr>
        <w:t xml:space="preserve">I. OPĆE ODREDBE </w:t>
      </w:r>
    </w:p>
    <w:p w14:paraId="4676FBC1" w14:textId="5D39C0D8" w:rsidR="00FB71F3" w:rsidRPr="003D0A91" w:rsidRDefault="00FB71F3" w:rsidP="004652D3">
      <w:pPr>
        <w:jc w:val="center"/>
        <w:rPr>
          <w:b/>
          <w:bCs/>
        </w:rPr>
      </w:pPr>
      <w:r w:rsidRPr="003D0A91">
        <w:rPr>
          <w:b/>
          <w:bCs/>
        </w:rPr>
        <w:t>Članak 1.</w:t>
      </w:r>
    </w:p>
    <w:p w14:paraId="5129951A" w14:textId="1FD17068" w:rsidR="004652D3" w:rsidRPr="003D0A91" w:rsidRDefault="00773033" w:rsidP="004652D3">
      <w:pPr>
        <w:jc w:val="both"/>
      </w:pPr>
      <w:r>
        <w:t>Ovom od</w:t>
      </w:r>
      <w:r w:rsidR="004C7190">
        <w:t>lukom d</w:t>
      </w:r>
      <w:r w:rsidR="004652D3" w:rsidRPr="003D0A91">
        <w:t xml:space="preserve">onosi se Plan rasvjete za </w:t>
      </w:r>
      <w:r w:rsidR="004C7190">
        <w:t xml:space="preserve">područje </w:t>
      </w:r>
      <w:r w:rsidR="00E855C1">
        <w:t>Općine Pakoštane</w:t>
      </w:r>
      <w:r w:rsidR="004652D3" w:rsidRPr="003D0A91">
        <w:t xml:space="preserve"> (u daljnjem tekstu: Plan) koji je izradi</w:t>
      </w:r>
      <w:r w:rsidR="00EF3473" w:rsidRPr="003D0A91">
        <w:t xml:space="preserve">la tvrtka </w:t>
      </w:r>
      <w:proofErr w:type="spellStart"/>
      <w:r w:rsidR="004652D3" w:rsidRPr="003D0A91">
        <w:t>Zening</w:t>
      </w:r>
      <w:proofErr w:type="spellEnd"/>
      <w:r w:rsidR="004652D3" w:rsidRPr="003D0A91">
        <w:t xml:space="preserve"> projekt d.o.o. iz Zagreba, u koordinaciji s nositeljem izrade</w:t>
      </w:r>
      <w:r w:rsidR="00906C18" w:rsidRPr="003D0A91">
        <w:t>:</w:t>
      </w:r>
      <w:r w:rsidR="000737FC" w:rsidRPr="003D0A91">
        <w:t xml:space="preserve"> </w:t>
      </w:r>
      <w:r w:rsidR="00E855C1">
        <w:t>Općinom Pakoštane</w:t>
      </w:r>
      <w:r w:rsidR="002B4F26" w:rsidRPr="003D0A91">
        <w:t xml:space="preserve"> i </w:t>
      </w:r>
      <w:r w:rsidR="00E855C1">
        <w:t xml:space="preserve">Jedinstvenim </w:t>
      </w:r>
      <w:r w:rsidR="00474C83">
        <w:t>upravnim odjelom.</w:t>
      </w:r>
      <w:r w:rsidR="00E855C1" w:rsidRPr="003D0A91">
        <w:t xml:space="preserve"> </w:t>
      </w:r>
    </w:p>
    <w:p w14:paraId="4A1B191F" w14:textId="033197B0" w:rsidR="00010A24" w:rsidRPr="003D0A91" w:rsidRDefault="00010A24" w:rsidP="00010A24">
      <w:pPr>
        <w:pStyle w:val="Default"/>
        <w:spacing w:after="240"/>
        <w:ind w:right="281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2.</w:t>
      </w:r>
    </w:p>
    <w:p w14:paraId="70CB53E8" w14:textId="77777777" w:rsidR="00DC10E7" w:rsidRPr="00DC10E7" w:rsidRDefault="00DC10E7" w:rsidP="00DC10E7">
      <w:pPr>
        <w:pStyle w:val="Default"/>
        <w:jc w:val="both"/>
        <w:rPr>
          <w:rFonts w:ascii="Aptos" w:hAnsi="Aptos"/>
          <w:sz w:val="22"/>
          <w:szCs w:val="22"/>
        </w:rPr>
      </w:pPr>
      <w:r w:rsidRPr="00DC10E7">
        <w:rPr>
          <w:rFonts w:ascii="Aptos" w:hAnsi="Aptos"/>
          <w:sz w:val="22"/>
          <w:szCs w:val="22"/>
        </w:rPr>
        <w:t>Ovaj Plan odnosi se na cjelokupno administrativno područje Općine Pakoštane.</w:t>
      </w:r>
    </w:p>
    <w:p w14:paraId="435ED501" w14:textId="77777777" w:rsidR="00DC10E7" w:rsidRPr="00DC10E7" w:rsidRDefault="00DC10E7" w:rsidP="00DC10E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DC10E7">
        <w:rPr>
          <w:rFonts w:ascii="Aptos" w:hAnsi="Aptos"/>
          <w:sz w:val="22"/>
          <w:szCs w:val="22"/>
        </w:rPr>
        <w:t>Plan se izrađuje u skladu sa Zakonom o zaštiti od svjetlosnog onečišćenja („Narodne novine“, broj 14/19) (u daljnjem tekstu: Zakon), Pravilnikom o zonama rasvijetljenosti, dopuštenim vrijednostima rasvjetljavanja i načinima upravljanja rasvjetnim sustavima („Narodne novine“, broj 128/20) (u daljnjem tekstu: Pravilnik) te Pravilnikom o sadržaju, formatu i načinu izrade plana rasvjete i akcijskog plana gradnje i/ili rekonstrukcije vanjske rasvjete („Narodne novine“, broj 22/23).</w:t>
      </w:r>
    </w:p>
    <w:p w14:paraId="6FDFDEA3" w14:textId="2640DA95" w:rsidR="009A7302" w:rsidRPr="003D0A91" w:rsidRDefault="009A7302" w:rsidP="009A7302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3.</w:t>
      </w:r>
    </w:p>
    <w:p w14:paraId="7A6D113E" w14:textId="77777777" w:rsidR="009A7302" w:rsidRPr="003D0A91" w:rsidRDefault="009A7302" w:rsidP="009A7302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Plan predstavlja elaborat koji sadrži: </w:t>
      </w:r>
    </w:p>
    <w:p w14:paraId="453B6571" w14:textId="77777777" w:rsidR="009A7302" w:rsidRPr="009A7302" w:rsidRDefault="009A7302" w:rsidP="009A7302">
      <w:pPr>
        <w:pStyle w:val="Default"/>
        <w:spacing w:after="240"/>
        <w:jc w:val="both"/>
        <w:rPr>
          <w:rFonts w:ascii="Aptos" w:hAnsi="Aptos"/>
        </w:rPr>
      </w:pPr>
      <w:r w:rsidRPr="009A7302">
        <w:rPr>
          <w:rFonts w:ascii="Aptos" w:hAnsi="Aptos"/>
          <w:b/>
          <w:bCs/>
        </w:rPr>
        <w:t xml:space="preserve">I. TEKSTUALNI DIO - ODREDBE ZA PROVEDBU </w:t>
      </w:r>
    </w:p>
    <w:p w14:paraId="12AF8BE0" w14:textId="739105A1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Definiranje zona rasvijetljenosti </w:t>
      </w:r>
    </w:p>
    <w:p w14:paraId="7395D275" w14:textId="286E3AC9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Terminski plan rada rasvjete </w:t>
      </w:r>
    </w:p>
    <w:p w14:paraId="55B7DAA6" w14:textId="70D7ABE1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Bilanca pokrivenosti </w:t>
      </w:r>
    </w:p>
    <w:p w14:paraId="094BEDCC" w14:textId="6FA94D2F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Mjere zaštite posebno osjetljivih područja </w:t>
      </w:r>
    </w:p>
    <w:p w14:paraId="40EE5645" w14:textId="77777777" w:rsidR="009A7302" w:rsidRPr="009A7302" w:rsidRDefault="009A7302" w:rsidP="001D5912">
      <w:pPr>
        <w:pStyle w:val="Default"/>
        <w:spacing w:before="240" w:after="240"/>
        <w:jc w:val="both"/>
        <w:rPr>
          <w:rFonts w:ascii="Aptos" w:hAnsi="Aptos"/>
        </w:rPr>
      </w:pPr>
      <w:r w:rsidRPr="009A7302">
        <w:rPr>
          <w:rFonts w:ascii="Aptos" w:hAnsi="Aptos"/>
          <w:b/>
          <w:bCs/>
        </w:rPr>
        <w:t xml:space="preserve">II. GRAFIČKI DIO - KARTOGRAFSKI PRIKAZI </w:t>
      </w:r>
    </w:p>
    <w:p w14:paraId="2742F15A" w14:textId="550BE042" w:rsidR="00282B16" w:rsidRPr="003D0A91" w:rsidRDefault="009A7302" w:rsidP="001D5912">
      <w:pPr>
        <w:pStyle w:val="Default"/>
        <w:numPr>
          <w:ilvl w:val="0"/>
          <w:numId w:val="2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Zone rasvijetljenosti 1:25000 </w:t>
      </w:r>
    </w:p>
    <w:p w14:paraId="39B73558" w14:textId="3885359E" w:rsidR="009A7302" w:rsidRPr="003D0A91" w:rsidRDefault="009A7302" w:rsidP="00377399">
      <w:pPr>
        <w:pStyle w:val="Default"/>
        <w:spacing w:before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Elaborat se sastoji od cjelina I </w:t>
      </w:r>
      <w:proofErr w:type="spellStart"/>
      <w:r w:rsidRPr="003D0A91">
        <w:rPr>
          <w:rFonts w:ascii="Aptos" w:hAnsi="Aptos"/>
          <w:sz w:val="22"/>
          <w:szCs w:val="22"/>
        </w:rPr>
        <w:t>i</w:t>
      </w:r>
      <w:proofErr w:type="spellEnd"/>
      <w:r w:rsidRPr="003D0A91">
        <w:rPr>
          <w:rFonts w:ascii="Aptos" w:hAnsi="Aptos"/>
          <w:sz w:val="22"/>
          <w:szCs w:val="22"/>
        </w:rPr>
        <w:t xml:space="preserve"> II iz prethodnog stavka ovoga članka ovjeren pečatom </w:t>
      </w:r>
      <w:r w:rsidR="000D5526">
        <w:rPr>
          <w:rFonts w:ascii="Aptos" w:hAnsi="Aptos"/>
          <w:sz w:val="22"/>
          <w:szCs w:val="22"/>
        </w:rPr>
        <w:t>Općine Pakoštane</w:t>
      </w:r>
      <w:r w:rsidRPr="003D0A91">
        <w:rPr>
          <w:rFonts w:ascii="Aptos" w:hAnsi="Aptos"/>
          <w:sz w:val="22"/>
          <w:szCs w:val="22"/>
        </w:rPr>
        <w:t xml:space="preserve"> i potpisom predsjednika </w:t>
      </w:r>
      <w:r w:rsidR="000D5526">
        <w:rPr>
          <w:rFonts w:ascii="Aptos" w:hAnsi="Aptos"/>
          <w:sz w:val="22"/>
          <w:szCs w:val="22"/>
        </w:rPr>
        <w:t>Općinskog</w:t>
      </w:r>
      <w:r w:rsidRPr="003D0A91">
        <w:rPr>
          <w:rFonts w:ascii="Aptos" w:hAnsi="Aptos"/>
          <w:sz w:val="22"/>
          <w:szCs w:val="22"/>
        </w:rPr>
        <w:t xml:space="preserve"> vijeća</w:t>
      </w:r>
      <w:r w:rsidR="009F4924" w:rsidRPr="003D0A91">
        <w:rPr>
          <w:rFonts w:ascii="Aptos" w:hAnsi="Aptos"/>
          <w:sz w:val="22"/>
          <w:szCs w:val="22"/>
        </w:rPr>
        <w:t xml:space="preserve"> i</w:t>
      </w:r>
      <w:r w:rsidRPr="003D0A91">
        <w:rPr>
          <w:rFonts w:ascii="Aptos" w:hAnsi="Aptos"/>
          <w:sz w:val="22"/>
          <w:szCs w:val="22"/>
        </w:rPr>
        <w:t xml:space="preserve"> sastavni je dio ove Odluke.</w:t>
      </w:r>
    </w:p>
    <w:p w14:paraId="2DD4DDC5" w14:textId="77777777" w:rsidR="00AC2878" w:rsidRPr="00AC2878" w:rsidRDefault="00AC2878" w:rsidP="003D0A91">
      <w:pPr>
        <w:pStyle w:val="Default"/>
        <w:spacing w:before="240"/>
        <w:rPr>
          <w:rFonts w:ascii="Aptos" w:hAnsi="Aptos"/>
          <w:b/>
          <w:bCs/>
        </w:rPr>
      </w:pPr>
      <w:r w:rsidRPr="00AC2878">
        <w:rPr>
          <w:rFonts w:ascii="Aptos" w:hAnsi="Aptos"/>
          <w:b/>
          <w:bCs/>
        </w:rPr>
        <w:t xml:space="preserve">II. ODREDBE ZA PROVEDBU </w:t>
      </w:r>
    </w:p>
    <w:p w14:paraId="5A4CAC27" w14:textId="77777777" w:rsidR="00AC2878" w:rsidRDefault="00AC2878" w:rsidP="00AC2878">
      <w:pPr>
        <w:pStyle w:val="Default"/>
        <w:rPr>
          <w:rFonts w:ascii="Aptos" w:hAnsi="Aptos"/>
          <w:b/>
          <w:bCs/>
        </w:rPr>
      </w:pPr>
    </w:p>
    <w:p w14:paraId="30B81110" w14:textId="77777777" w:rsidR="00F342BF" w:rsidRDefault="00F342BF" w:rsidP="00AC2878">
      <w:pPr>
        <w:pStyle w:val="Default"/>
        <w:rPr>
          <w:rFonts w:ascii="Aptos" w:hAnsi="Aptos"/>
          <w:b/>
          <w:bCs/>
        </w:rPr>
      </w:pPr>
    </w:p>
    <w:p w14:paraId="06CB97F7" w14:textId="77777777" w:rsidR="00F342BF" w:rsidRDefault="00F342BF" w:rsidP="00AC2878">
      <w:pPr>
        <w:pStyle w:val="Default"/>
        <w:rPr>
          <w:rFonts w:ascii="Aptos" w:hAnsi="Aptos"/>
          <w:b/>
          <w:bCs/>
        </w:rPr>
      </w:pPr>
    </w:p>
    <w:p w14:paraId="2A9D0D30" w14:textId="77777777" w:rsidR="00F342BF" w:rsidRPr="00AC2878" w:rsidRDefault="00F342BF" w:rsidP="00AC2878">
      <w:pPr>
        <w:pStyle w:val="Default"/>
        <w:rPr>
          <w:rFonts w:ascii="Aptos" w:hAnsi="Aptos"/>
          <w:b/>
          <w:bCs/>
        </w:rPr>
      </w:pPr>
    </w:p>
    <w:p w14:paraId="4A7528FD" w14:textId="77777777" w:rsidR="00AC2878" w:rsidRPr="00AC2878" w:rsidRDefault="00AC2878" w:rsidP="00AC2878">
      <w:pPr>
        <w:pStyle w:val="Default"/>
        <w:rPr>
          <w:rFonts w:ascii="Aptos" w:hAnsi="Aptos"/>
        </w:rPr>
      </w:pPr>
      <w:r w:rsidRPr="00AC2878">
        <w:rPr>
          <w:rFonts w:ascii="Aptos" w:hAnsi="Aptos"/>
          <w:b/>
          <w:bCs/>
        </w:rPr>
        <w:lastRenderedPageBreak/>
        <w:t xml:space="preserve">1. DEFINIRANJE ZONA RASVIJETLJENOSTI </w:t>
      </w:r>
    </w:p>
    <w:p w14:paraId="0BB23D11" w14:textId="77777777" w:rsidR="00AC2878" w:rsidRPr="00AC2878" w:rsidRDefault="00AC2878" w:rsidP="00AC2878">
      <w:pPr>
        <w:pStyle w:val="Default"/>
        <w:rPr>
          <w:rFonts w:ascii="Aptos" w:hAnsi="Aptos"/>
          <w:b/>
          <w:bCs/>
        </w:rPr>
      </w:pPr>
    </w:p>
    <w:p w14:paraId="4FDD6FC5" w14:textId="77777777" w:rsidR="00AC2878" w:rsidRPr="003D0A91" w:rsidRDefault="00AC2878" w:rsidP="00C57704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4.</w:t>
      </w:r>
    </w:p>
    <w:p w14:paraId="3D308224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S obzirom na sadržaj, aktivnosti i kriterije, određene su i razgraničene sljedeće zone rasvijetljenosti: </w:t>
      </w:r>
    </w:p>
    <w:p w14:paraId="08FD68BC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E0 – područja prirodne rasvijetljenosti, </w:t>
      </w:r>
    </w:p>
    <w:p w14:paraId="7CA7BCF9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E1 – područja tamnog krajolika, </w:t>
      </w:r>
    </w:p>
    <w:p w14:paraId="4A09A401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E2 – područja niske ambijentalne rasvijetljenosti, </w:t>
      </w:r>
    </w:p>
    <w:p w14:paraId="6EE58477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E3 – područja srednje ambijentalne rasvijetljenosti i </w:t>
      </w:r>
    </w:p>
    <w:p w14:paraId="7617BBB8" w14:textId="77777777" w:rsidR="00C57704" w:rsidRPr="003D0A91" w:rsidRDefault="00C57704" w:rsidP="00C57704">
      <w:pPr>
        <w:pStyle w:val="Default"/>
        <w:numPr>
          <w:ilvl w:val="0"/>
          <w:numId w:val="3"/>
        </w:numPr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E4 – područja visoke ambijentalne rasvijetljenosti. </w:t>
      </w:r>
    </w:p>
    <w:p w14:paraId="078970AB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</w:p>
    <w:p w14:paraId="3EB3F61C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Razgraničenje površina iz stavka 1. ovog članka određeno je na kartografskom prikazu br. 1. “Zone rasvijetljenosti” mj. 1:25.000. </w:t>
      </w:r>
    </w:p>
    <w:p w14:paraId="18F56D89" w14:textId="77777777" w:rsidR="00C57704" w:rsidRPr="003D0A91" w:rsidRDefault="00C57704" w:rsidP="00C57704">
      <w:pPr>
        <w:pStyle w:val="Default"/>
        <w:rPr>
          <w:rFonts w:ascii="Aptos" w:hAnsi="Aptos"/>
          <w:b/>
          <w:bCs/>
          <w:sz w:val="22"/>
          <w:szCs w:val="22"/>
        </w:rPr>
      </w:pPr>
    </w:p>
    <w:p w14:paraId="1A77E0B0" w14:textId="77777777" w:rsidR="00C57704" w:rsidRPr="003D0A91" w:rsidRDefault="00C57704" w:rsidP="00021A58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5.</w:t>
      </w:r>
    </w:p>
    <w:p w14:paraId="14A3E3E5" w14:textId="77777777" w:rsidR="00B93CB9" w:rsidRPr="003D0A91" w:rsidRDefault="00B93CB9" w:rsidP="00B93CB9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Kriteriji za određivanje zona rasvijetljenosti temeljeni su i u skladu su s:</w:t>
      </w:r>
    </w:p>
    <w:p w14:paraId="3A2911C1" w14:textId="72D2BC59" w:rsidR="00526C2E" w:rsidRDefault="00526C2E" w:rsidP="004E5FE8">
      <w:pPr>
        <w:pStyle w:val="Default"/>
        <w:numPr>
          <w:ilvl w:val="0"/>
          <w:numId w:val="5"/>
        </w:numPr>
        <w:jc w:val="both"/>
        <w:rPr>
          <w:rFonts w:ascii="Aptos" w:hAnsi="Aptos"/>
          <w:sz w:val="22"/>
          <w:szCs w:val="22"/>
        </w:rPr>
      </w:pPr>
      <w:r w:rsidRPr="00526C2E">
        <w:rPr>
          <w:rFonts w:ascii="Aptos" w:hAnsi="Aptos"/>
          <w:sz w:val="22"/>
          <w:szCs w:val="22"/>
        </w:rPr>
        <w:t>V. Izmjen</w:t>
      </w:r>
      <w:r>
        <w:rPr>
          <w:rFonts w:ascii="Aptos" w:hAnsi="Aptos"/>
          <w:sz w:val="22"/>
          <w:szCs w:val="22"/>
        </w:rPr>
        <w:t>ama</w:t>
      </w:r>
      <w:r w:rsidRPr="00526C2E">
        <w:rPr>
          <w:rFonts w:ascii="Aptos" w:hAnsi="Aptos"/>
          <w:sz w:val="22"/>
          <w:szCs w:val="22"/>
        </w:rPr>
        <w:t xml:space="preserve"> i dopun</w:t>
      </w:r>
      <w:r>
        <w:rPr>
          <w:rFonts w:ascii="Aptos" w:hAnsi="Aptos"/>
          <w:sz w:val="22"/>
          <w:szCs w:val="22"/>
        </w:rPr>
        <w:t>ama</w:t>
      </w:r>
      <w:r w:rsidRPr="00526C2E">
        <w:rPr>
          <w:rFonts w:ascii="Aptos" w:hAnsi="Aptos"/>
          <w:sz w:val="22"/>
          <w:szCs w:val="22"/>
        </w:rPr>
        <w:t xml:space="preserve"> Prostornog plana uređenja Općine Pakoštane</w:t>
      </w:r>
    </w:p>
    <w:p w14:paraId="04CCDF37" w14:textId="543404F0" w:rsidR="004E5FE8" w:rsidRPr="00526C2E" w:rsidRDefault="004E5FE8" w:rsidP="00526C2E">
      <w:pPr>
        <w:pStyle w:val="Default"/>
        <w:numPr>
          <w:ilvl w:val="0"/>
          <w:numId w:val="5"/>
        </w:numPr>
        <w:spacing w:after="240"/>
        <w:jc w:val="both"/>
        <w:rPr>
          <w:rFonts w:ascii="Aptos" w:hAnsi="Aptos"/>
          <w:sz w:val="22"/>
          <w:szCs w:val="22"/>
        </w:rPr>
      </w:pPr>
      <w:proofErr w:type="spellStart"/>
      <w:r w:rsidRPr="004E5FE8">
        <w:rPr>
          <w:rFonts w:ascii="Aptos" w:hAnsi="Aptos"/>
          <w:sz w:val="22"/>
          <w:szCs w:val="22"/>
        </w:rPr>
        <w:t>Bioportal</w:t>
      </w:r>
      <w:proofErr w:type="spellEnd"/>
      <w:r w:rsidRPr="004E5FE8">
        <w:rPr>
          <w:rFonts w:ascii="Aptos" w:hAnsi="Aptos"/>
          <w:sz w:val="22"/>
          <w:szCs w:val="22"/>
        </w:rPr>
        <w:t xml:space="preserve"> – Informacijski sustav zaštite prirode, WFS servis Zaštićena područja RH</w:t>
      </w:r>
    </w:p>
    <w:p w14:paraId="23E29246" w14:textId="78BD9CA0" w:rsidR="003009AF" w:rsidRPr="003D0A91" w:rsidRDefault="003009AF" w:rsidP="00377399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E0 - Područja prirodne rasvijetljenosti</w:t>
      </w:r>
    </w:p>
    <w:p w14:paraId="48B4B68D" w14:textId="2DC73D7F" w:rsidR="003009AF" w:rsidRPr="003D0A91" w:rsidRDefault="003009AF" w:rsidP="00377399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Blizine većih profesionalnih zvjezdarnica; Parkovi tamnog neba; Prirodna područja otvorenog prostora; Područja prirode izvan granica naselja važna za očuvanje divljih vrsta osjetljivih na svjetlosno onečišćenje, s osobitim naglaskom na strogo zaštićene vrste; Zaštićena područja – Strogi rezervati, posebni rezervati te zone stroge i usmjerene zaštite unutar parkova prirode i nacionalnih parkova; Skloništa divljih vrsta; Dijelovi krajobraza i krajobrazne infrastrukture</w:t>
      </w:r>
    </w:p>
    <w:p w14:paraId="57CC1743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gdje vanjska rasvjeta ozbiljno i negativno utječe na prirodno okruženje. Utjecaji uključuju ometanje bioloških ciklusa flore i faune i/ili onemogućavanje ljudima u uživanju i uvažavanju prirodnog okoliša. Ljudska aktivnost je podređena prirodi. Vizura ljudi i korisnika prilagođena je mraku i očekuju da će vidjeti malo ili nimalo svjetla.</w:t>
      </w:r>
    </w:p>
    <w:p w14:paraId="4BA54F96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Prirodna područja otvorenog prostora -šumska područja; livade i pašnjaci; prirodna i umjetna vodena tijela – npr. rijeke, jezera, bare, lokve, bazeni za navodnjavanje, ribnjaci važni za očuvanje ptica.</w:t>
      </w:r>
    </w:p>
    <w:p w14:paraId="1FEB1D1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Područja oko važnih podzemnih skloništa za šišmiše (najmanje 100 m) – koridori kretanja od skloništa prema lovnim staništima nisu osvijetljeni; zeleni mostovi s gornje strane i najmanje 300 m sa svake strane ulaza zelenog mosta važni za migraciju strogo zaštićenih vrsta i njihovog plijena; prijelazi za divlje životinje.</w:t>
      </w:r>
    </w:p>
    <w:p w14:paraId="19C6B40D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Čitavo područje strogog rezervata.</w:t>
      </w:r>
    </w:p>
    <w:p w14:paraId="76F603E7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Posebni rezervati u slučajevima kada vanjska rasvjeta narušava svojstva zbog kojih su proglašeni.</w:t>
      </w:r>
    </w:p>
    <w:p w14:paraId="5700A31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Područja stroge i usmjerene zaštite unutar parkova prirode i nacionalnih parkova, osim ako posebnim propisom kojim se uređuje zaštita i očuvanju zaštićenih područja nije predviđeno drugačije.</w:t>
      </w:r>
    </w:p>
    <w:p w14:paraId="4E7C774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Dijelovi krajobraza u naseljima važni za očuvanje divljih vrsta osjetljivih na svjetlosno onečišćenje s osobitim naglaskom na strogo zaštićene vrste (neosvijetljeni dijelovi velikih parkova i perivoja koji se nastavljaju na rijeke, jezera, potoke itd.).</w:t>
      </w:r>
    </w:p>
    <w:p w14:paraId="17F7B54F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Dijelovi krajobrazne infrastrukture koji omogućuju očuvanje značajnih i karakterističnih obilježja krajobraza, koja su temeljem svoje linearne ili kontinuirane strukture ili funkcije bitna za migraciju, širenje i genetsku razmjenu divljih vrsta osjetljivih na svjetlosno onečišćenje (ptice, šišmiši, oprašivači itd.).</w:t>
      </w:r>
    </w:p>
    <w:p w14:paraId="14F35020" w14:textId="77777777" w:rsidR="003009AF" w:rsidRPr="003D0A91" w:rsidRDefault="003009AF" w:rsidP="00377399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Kada nije potrebna, rasvjetu treba ugasiti.</w:t>
      </w:r>
    </w:p>
    <w:p w14:paraId="0154DE3C" w14:textId="77777777" w:rsidR="00F342BF" w:rsidRDefault="00F342BF" w:rsidP="00C37C91">
      <w:pPr>
        <w:jc w:val="both"/>
        <w:rPr>
          <w:rFonts w:ascii="Aptos" w:hAnsi="Aptos" w:cs="Arial"/>
          <w:b/>
        </w:rPr>
      </w:pPr>
    </w:p>
    <w:p w14:paraId="35D40AE1" w14:textId="660FA5B4" w:rsidR="00C37C91" w:rsidRPr="003D0A91" w:rsidRDefault="00C37C91" w:rsidP="00C37C91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lastRenderedPageBreak/>
        <w:t>NAZIV: Zona E1 - Područja tamnog krajolika</w:t>
      </w:r>
    </w:p>
    <w:p w14:paraId="2A0CBF75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Ruralna i urbana područja i područja s ograničenom noćnom aktivnosti, Građevine unutar prirodnih područja otvorenog prostora; Međumjesne lokalne prometnice ug</w:t>
      </w:r>
      <w:r w:rsidRPr="003D0A91">
        <w:rPr>
          <w:rFonts w:ascii="Aptos" w:hAnsi="Aptos"/>
          <w:sz w:val="22"/>
          <w:szCs w:val="22"/>
        </w:rPr>
        <w:softHyphen/>
        <w:t>lavnom nerasvijetljene; Zaštićena područja izvan granica naselja osim zaštićenih područja u E0; Zaštićena područja unutar granica naselja važna za strogo zaštićene vrste ukoliko su u području naselja ključna staništa i skloništa unutar naselja; Skloništa i staništa divljih vrsta osjetljivih na svjetlosno onečišćenje unutar naselja</w:t>
      </w:r>
    </w:p>
    <w:p w14:paraId="4619A62C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</w:p>
    <w:p w14:paraId="6108C870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gdje vanjska rasvjeta negativno utječe na floru i faunu ili bitno remeti karakter područja.</w:t>
      </w:r>
    </w:p>
    <w:p w14:paraId="28FE6474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Ruralna i urbana područja s ograničenom noćnom aktivnosti izvan granica naselja važna za divlje vrste osjetljive na svjetlosno onečišćenje s osobitim naglaskom na strogo zaštićene vrste ukoliko su u području ključna staništa i skloništa izvan naselja vezano uz aktivnost ljudi.</w:t>
      </w:r>
    </w:p>
    <w:p w14:paraId="426081F8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Dijelovi ruralne i urbane zelene/krajobrazne infrastrukture koji omogućuju očuvanje značajnih i karakterističnih obilježja krajobraza, koja su temeljem svoje linearne ili kontinuirane strukture ili funkcije bitna za migraciju, širenje i genetsku razmjenu divljih vrsta osjetljivih na svjetlosno onečišćenje (ptice, šišmiši, oprašivači itd.).</w:t>
      </w:r>
    </w:p>
    <w:p w14:paraId="0B66DA0B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Građevine u područjima izvan naselja s ograničenom ljudskom aktivnosti unutar prirodnih područja otvorenog prostora.</w:t>
      </w:r>
    </w:p>
    <w:p w14:paraId="03C78E66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Skloništa divljih vrsta osjetljivih na svjetlosno onečišćenje unutar naselja nisu izravno osvijetljena i osigurani su tamni koridori kretanja prema ključnim staništima (prehrana, pijenje vode, migracije) uz poštivanje izbjegavanja izravnog osvjetljavanja izlaza iz skloništa te ostavljanja tamnog koridora između skloništa i lovnog staništa.</w:t>
      </w:r>
    </w:p>
    <w:p w14:paraId="19AE8D96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Vizura stanovnika i korisnika je prilagođena razinama slabe rasvijetljenosti. Vanjska rasvjeta se može koristiti za sigurnost i ugođaj, ali nije nužno jednolično ili kontinuirano.</w:t>
      </w:r>
    </w:p>
    <w:p w14:paraId="587A859D" w14:textId="77777777" w:rsidR="00C37C91" w:rsidRPr="003D0A91" w:rsidRDefault="00C37C91" w:rsidP="009C0624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U </w:t>
      </w:r>
      <w:proofErr w:type="spellStart"/>
      <w:r w:rsidRPr="003D0A91">
        <w:rPr>
          <w:rFonts w:ascii="Aptos" w:hAnsi="Aptos"/>
          <w:sz w:val="22"/>
          <w:szCs w:val="22"/>
        </w:rPr>
        <w:t>svjetlostaju</w:t>
      </w:r>
      <w:proofErr w:type="spellEnd"/>
      <w:r w:rsidRPr="003D0A91">
        <w:rPr>
          <w:rFonts w:ascii="Aptos" w:hAnsi="Aptos"/>
          <w:sz w:val="22"/>
          <w:szCs w:val="22"/>
        </w:rPr>
        <w:t>, većinu rasvjete treba ugasiti ili smanjiti sukladno opadanju razine aktivnosti.</w:t>
      </w:r>
    </w:p>
    <w:p w14:paraId="3D30BC21" w14:textId="77777777" w:rsidR="009C0624" w:rsidRPr="003D0A91" w:rsidRDefault="009C0624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E2 - Područja niske ambijentalne rasvijetljenosti</w:t>
      </w:r>
    </w:p>
    <w:p w14:paraId="603681C7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Građevinska područja naselja; Rezidencijalne zone; Zaštićena područja osim dijelova koji su u zonama E0 i E1</w:t>
      </w:r>
    </w:p>
    <w:p w14:paraId="261DA6E1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</w:p>
    <w:p w14:paraId="5A97DBAE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ljudske aktivnosti u kojima je vizura ljudi i korisnika prilagođena umjerenim rasvijetljenosti.</w:t>
      </w:r>
    </w:p>
    <w:p w14:paraId="0ED3892A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Zona korištenja unutar naselja koja se nalaze u parkovima prirode i nacionalnim parkovima vezano uz sigurnost na cestama i javnu rasvjetu i ostala zaštićena područja unutar granica naselja vezano uz sigurnost na cestama i javnu rasvjetu.</w:t>
      </w:r>
    </w:p>
    <w:p w14:paraId="6441D9C3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Vanjska rasvjeta može biti tipski korisna za sigurnost i ugođaj, ali nije nužno ujednačeno ili kontinuirano.</w:t>
      </w:r>
    </w:p>
    <w:p w14:paraId="76E0EC44" w14:textId="4D4BEEF2" w:rsidR="00AC2878" w:rsidRPr="003D0A91" w:rsidRDefault="009C0624" w:rsidP="00076457">
      <w:pPr>
        <w:jc w:val="both"/>
        <w:rPr>
          <w:rFonts w:ascii="Aptos" w:hAnsi="Aptos"/>
        </w:rPr>
      </w:pPr>
      <w:r w:rsidRPr="003D0A91">
        <w:rPr>
          <w:rFonts w:ascii="Aptos" w:hAnsi="Aptos"/>
        </w:rPr>
        <w:t xml:space="preserve">U </w:t>
      </w:r>
      <w:proofErr w:type="spellStart"/>
      <w:r w:rsidRPr="003D0A91">
        <w:rPr>
          <w:rFonts w:ascii="Aptos" w:hAnsi="Aptos"/>
        </w:rPr>
        <w:t>svjetlostaju</w:t>
      </w:r>
      <w:proofErr w:type="spellEnd"/>
      <w:r w:rsidRPr="003D0A91">
        <w:rPr>
          <w:rFonts w:ascii="Aptos" w:hAnsi="Aptos"/>
        </w:rPr>
        <w:t>, vanjska rasvjeta se može ugasiti ili smanjiti sukladno opadanju razine aktivnosti.</w:t>
      </w:r>
    </w:p>
    <w:p w14:paraId="23B110A4" w14:textId="77777777" w:rsidR="00E74E4A" w:rsidRPr="003D0A91" w:rsidRDefault="00E74E4A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E3 - Područja srednje ambijentalne rasvijetljenosti</w:t>
      </w:r>
    </w:p>
    <w:p w14:paraId="3088D3C8" w14:textId="3EC1CC31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Industrijske i trgovačke zone kao izdvojena građevinska područja izvan naselja; Industrijske i trgovačke zone unutar naselja; Prometna infrastruktura</w:t>
      </w:r>
      <w:r w:rsidR="00076457" w:rsidRPr="003D0A91">
        <w:rPr>
          <w:rFonts w:ascii="Aptos" w:hAnsi="Aptos"/>
          <w:sz w:val="22"/>
          <w:szCs w:val="22"/>
        </w:rPr>
        <w:t>.</w:t>
      </w:r>
    </w:p>
    <w:p w14:paraId="61622B0E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ljudske aktivnosti u kojima je vizura ljudi i korisnika prilagođena umjerenim do srednje jakim razinama rasvijetljenosti.</w:t>
      </w:r>
    </w:p>
    <w:p w14:paraId="0E1AB36C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Javne prometnice za motorna vozila kao dio prometne infrastrukture unutar i izvan građevinskog područja naselja izuzev prometnica obuhvaćenih zonom rasvijetljenosti E2 u građevinskim područjima naselja i zonama E0 i E1.</w:t>
      </w:r>
    </w:p>
    <w:p w14:paraId="3161E8F6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Vanjska rasvjeta je općenito potrebna za sigurnost, ugođaj, udobnost i često je jednolična i/ili kontinuirana.</w:t>
      </w:r>
    </w:p>
    <w:p w14:paraId="1432FE16" w14:textId="77777777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U </w:t>
      </w:r>
      <w:proofErr w:type="spellStart"/>
      <w:r w:rsidRPr="003D0A91">
        <w:rPr>
          <w:rFonts w:ascii="Aptos" w:hAnsi="Aptos"/>
          <w:sz w:val="22"/>
          <w:szCs w:val="22"/>
        </w:rPr>
        <w:t>svjetlostaju</w:t>
      </w:r>
      <w:proofErr w:type="spellEnd"/>
      <w:r w:rsidRPr="003D0A91">
        <w:rPr>
          <w:rFonts w:ascii="Aptos" w:hAnsi="Aptos"/>
          <w:sz w:val="22"/>
          <w:szCs w:val="22"/>
        </w:rPr>
        <w:t>, vanjska rasvjeta se može ugasiti ili smanjiti sukladno opadanju razine aktivnosti.</w:t>
      </w:r>
    </w:p>
    <w:p w14:paraId="35C3EC99" w14:textId="77777777" w:rsidR="00E74E4A" w:rsidRPr="003D0A91" w:rsidRDefault="00E74E4A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lastRenderedPageBreak/>
        <w:t>NAZIV: Zona E4 - Područja visoke ambijentalne rasvijetljenosti</w:t>
      </w:r>
    </w:p>
    <w:p w14:paraId="3477B1C6" w14:textId="22D77575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Urbana područja komercijalnog karaktera s visokim stupnjem noćne aktivnosti</w:t>
      </w:r>
      <w:r w:rsidR="00076457" w:rsidRPr="003D0A91">
        <w:rPr>
          <w:rFonts w:ascii="Aptos" w:hAnsi="Aptos"/>
          <w:sz w:val="22"/>
          <w:szCs w:val="22"/>
        </w:rPr>
        <w:t>.</w:t>
      </w:r>
    </w:p>
    <w:p w14:paraId="2EB4E4A0" w14:textId="77777777" w:rsidR="00C02043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 xml:space="preserve">: Područja ljudske aktivnosti u kojima je vizura ljudi i korisnika prilagođena umjereno visokim razinama rasvijetljenosti. </w:t>
      </w:r>
    </w:p>
    <w:p w14:paraId="3854F608" w14:textId="6F05059A" w:rsidR="00DF6723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Vanjska rasvjeta je općenito potrebna za sigurnost, ugođaj, udobnost i često je jednolična i / ili kontinuirana. </w:t>
      </w:r>
    </w:p>
    <w:p w14:paraId="64F98428" w14:textId="6EF7ED3B" w:rsidR="00E74E4A" w:rsidRPr="003D0A91" w:rsidRDefault="00E74E4A" w:rsidP="00076457">
      <w:pPr>
        <w:pStyle w:val="Default"/>
        <w:jc w:val="both"/>
        <w:rPr>
          <w:rFonts w:ascii="Aptos" w:hAnsi="Aptos"/>
          <w:b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U </w:t>
      </w:r>
      <w:proofErr w:type="spellStart"/>
      <w:r w:rsidRPr="003D0A91">
        <w:rPr>
          <w:rFonts w:ascii="Aptos" w:hAnsi="Aptos"/>
          <w:sz w:val="22"/>
          <w:szCs w:val="22"/>
        </w:rPr>
        <w:t>svjetlostaju</w:t>
      </w:r>
      <w:proofErr w:type="spellEnd"/>
      <w:r w:rsidRPr="003D0A91">
        <w:rPr>
          <w:rFonts w:ascii="Aptos" w:hAnsi="Aptos"/>
          <w:sz w:val="22"/>
          <w:szCs w:val="22"/>
        </w:rPr>
        <w:t>, rasvjeta se može smanjiti u većini područja kako se razina aktivnosti smanjuje.</w:t>
      </w:r>
    </w:p>
    <w:p w14:paraId="59880F29" w14:textId="77777777" w:rsidR="009C0624" w:rsidRDefault="009C0624" w:rsidP="009C0624">
      <w:pPr>
        <w:jc w:val="both"/>
      </w:pPr>
    </w:p>
    <w:p w14:paraId="00EA36B2" w14:textId="77777777" w:rsidR="00741099" w:rsidRPr="00692DBF" w:rsidRDefault="00741099" w:rsidP="00741099">
      <w:pPr>
        <w:spacing w:before="240"/>
        <w:jc w:val="both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>2. TERMINSKI PLAN RADA RASVJETE</w:t>
      </w:r>
    </w:p>
    <w:p w14:paraId="344107CE" w14:textId="77777777" w:rsidR="00741099" w:rsidRPr="003D0A91" w:rsidRDefault="00741099" w:rsidP="00334F88">
      <w:pPr>
        <w:pStyle w:val="Default"/>
        <w:spacing w:after="240"/>
        <w:jc w:val="center"/>
        <w:rPr>
          <w:rFonts w:ascii="Aptos" w:hAnsi="Aptos"/>
          <w:b/>
          <w:bCs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6.</w:t>
      </w:r>
    </w:p>
    <w:p w14:paraId="3B5EBE28" w14:textId="7A6F2D33" w:rsidR="007F342C" w:rsidRDefault="007F342C" w:rsidP="001E00DB">
      <w:pPr>
        <w:jc w:val="both"/>
      </w:pPr>
      <w:r w:rsidRPr="007F342C">
        <w:t xml:space="preserve">Terminski plan rada vanjske rasvjete definira režime uključivanja, isključivanja i </w:t>
      </w:r>
      <w:r w:rsidR="00EC2929">
        <w:t>regulaciju</w:t>
      </w:r>
      <w:r w:rsidRPr="007F342C">
        <w:t xml:space="preserve"> rasvjete u skladu sa Zakonom o zaštiti od svjetlosnog onečišćenja te Pravilnikom o zonama rasvijetljenosti, dopuštenim vrijednostima rasvjetljavanja i načinima upravljanja rasvjetnim sustavima (NN 128/20).</w:t>
      </w:r>
    </w:p>
    <w:p w14:paraId="20DC67E4" w14:textId="77777777" w:rsidR="005C71DB" w:rsidRDefault="005C71DB" w:rsidP="001E00DB">
      <w:pPr>
        <w:jc w:val="both"/>
      </w:pPr>
      <w:r w:rsidRPr="005C71DB">
        <w:t>Rasvjeta se mora koristiti na način da se osigura sigurnost korisnika prostora, uz istovremeno smanjenje svjetlosnog onečišćenja i potrošnje energije.</w:t>
      </w:r>
    </w:p>
    <w:p w14:paraId="7CBA6490" w14:textId="6F9B5370" w:rsidR="00D519E5" w:rsidRDefault="00D519E5" w:rsidP="001E00DB">
      <w:pPr>
        <w:jc w:val="both"/>
      </w:pPr>
      <w:r w:rsidRPr="00D519E5">
        <w:t>Noć predstavlja razdoblje od zalaska sunca do zore</w:t>
      </w:r>
      <w:r>
        <w:t>.</w:t>
      </w:r>
    </w:p>
    <w:p w14:paraId="1793361E" w14:textId="2A77C105" w:rsidR="00D519E5" w:rsidRDefault="00D519E5" w:rsidP="001E00DB">
      <w:pPr>
        <w:jc w:val="both"/>
      </w:pPr>
      <w:proofErr w:type="spellStart"/>
      <w:r w:rsidRPr="00D519E5">
        <w:t>Svjetlostaj</w:t>
      </w:r>
      <w:proofErr w:type="spellEnd"/>
      <w:r w:rsidRPr="00D519E5">
        <w:t xml:space="preserve"> je vremensko razdoblje tijekom noći u kojem se vanjska rasvjeta gasi ili prigušuje na propisanu razinu.</w:t>
      </w:r>
    </w:p>
    <w:p w14:paraId="34230ED4" w14:textId="22631ED7" w:rsidR="00E1071A" w:rsidRPr="00E1071A" w:rsidRDefault="006E3B90" w:rsidP="003020BA">
      <w:pPr>
        <w:tabs>
          <w:tab w:val="num" w:pos="720"/>
        </w:tabs>
        <w:spacing w:after="0"/>
        <w:jc w:val="both"/>
      </w:pPr>
      <w:r w:rsidRPr="006E3B90">
        <w:t xml:space="preserve">Početak </w:t>
      </w:r>
      <w:proofErr w:type="spellStart"/>
      <w:r w:rsidRPr="006E3B90">
        <w:t>svjetlostaja</w:t>
      </w:r>
      <w:proofErr w:type="spellEnd"/>
      <w:r w:rsidRPr="006E3B90">
        <w:t xml:space="preserve"> definira se u sredini noći, uz dopušteno odstupanje do najviše jednog sata, dok trajanje </w:t>
      </w:r>
      <w:proofErr w:type="spellStart"/>
      <w:r w:rsidRPr="006E3B90">
        <w:t>svjetlostaja</w:t>
      </w:r>
      <w:proofErr w:type="spellEnd"/>
      <w:r w:rsidRPr="006E3B90">
        <w:t xml:space="preserve"> ne može biti kraće od tri sata.</w:t>
      </w:r>
      <w:r w:rsidR="003020BA">
        <w:t xml:space="preserve"> </w:t>
      </w:r>
      <w:r w:rsidR="00E1071A" w:rsidRPr="00E1071A">
        <w:t xml:space="preserve">Tijekom </w:t>
      </w:r>
      <w:proofErr w:type="spellStart"/>
      <w:r w:rsidR="00E1071A" w:rsidRPr="00E1071A">
        <w:t>svjetlostaja</w:t>
      </w:r>
      <w:proofErr w:type="spellEnd"/>
      <w:r w:rsidR="00E1071A" w:rsidRPr="00E1071A">
        <w:t xml:space="preserve"> rasvjeta se</w:t>
      </w:r>
      <w:r w:rsidR="003020BA">
        <w:t xml:space="preserve"> </w:t>
      </w:r>
      <w:r w:rsidR="00E1071A" w:rsidRPr="00E1071A">
        <w:t>gasi ili</w:t>
      </w:r>
      <w:r w:rsidR="003020BA">
        <w:t xml:space="preserve"> </w:t>
      </w:r>
      <w:r w:rsidR="00E1071A" w:rsidRPr="00E1071A">
        <w:t>smanjuje na minimalnu potrebnu razinu</w:t>
      </w:r>
      <w:r w:rsidR="003020BA">
        <w:t xml:space="preserve">. </w:t>
      </w:r>
      <w:r w:rsidR="00E1071A" w:rsidRPr="00E1071A">
        <w:t>Smanjenje intenziteta rasvjete provodi se u skladu s odredbama Pravilnika, pri čemu se intenzitet dekorativne i krajobrazne rasvjete smanjuje za najmanje 50% ili se ista isključuje.</w:t>
      </w:r>
    </w:p>
    <w:p w14:paraId="0FFA96C2" w14:textId="77777777" w:rsidR="00E1071A" w:rsidRDefault="00E1071A" w:rsidP="00DA26CC">
      <w:pPr>
        <w:spacing w:after="0"/>
        <w:jc w:val="both"/>
      </w:pPr>
    </w:p>
    <w:p w14:paraId="51365A77" w14:textId="587D3B3D" w:rsidR="00547F62" w:rsidRPr="00A77A03" w:rsidRDefault="00547F62" w:rsidP="006E3B90">
      <w:pPr>
        <w:spacing w:before="240" w:after="0"/>
        <w:jc w:val="both"/>
        <w:rPr>
          <w:b/>
          <w:bCs/>
        </w:rPr>
      </w:pPr>
      <w:r w:rsidRPr="00A77A03">
        <w:rPr>
          <w:b/>
          <w:bCs/>
        </w:rPr>
        <w:t>Zona E0 – Područja prirodne rasvijetljenosti</w:t>
      </w:r>
    </w:p>
    <w:p w14:paraId="310FA5B2" w14:textId="77777777" w:rsidR="00441020" w:rsidRPr="00441020" w:rsidRDefault="00441020" w:rsidP="00441020">
      <w:pPr>
        <w:spacing w:before="240" w:after="0"/>
        <w:jc w:val="both"/>
      </w:pPr>
      <w:r w:rsidRPr="00441020">
        <w:t>Zona E0 obuhvaća dijelove prostora Općine Pakoštane bez stalne noćne aktivnosti i bez izgrađene rasvjetne infrastrukture, koji su od posebne važnosti za očuvanje prirodnih ekosustava i bioraznolikosti.</w:t>
      </w:r>
    </w:p>
    <w:p w14:paraId="40545E41" w14:textId="77777777" w:rsidR="00441020" w:rsidRPr="00441020" w:rsidRDefault="00441020" w:rsidP="00441020">
      <w:pPr>
        <w:spacing w:before="240" w:after="0"/>
        <w:jc w:val="both"/>
      </w:pPr>
      <w:r w:rsidRPr="00441020">
        <w:t>U ovu zonu razvrstavaju se osobito:</w:t>
      </w:r>
    </w:p>
    <w:p w14:paraId="7FB0AD1D" w14:textId="77777777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područje Vransko jezero izvan građevinskih područja naselja </w:t>
      </w:r>
    </w:p>
    <w:p w14:paraId="37EE3902" w14:textId="77777777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prirodni dijelovi zaleđa bez izgrađenih sadržaja i rasvjete </w:t>
      </w:r>
    </w:p>
    <w:p w14:paraId="490DC4CA" w14:textId="77777777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nenaseljeni otoci i dijelovi otoka bez stalne infrastrukture i rasvjete </w:t>
      </w:r>
    </w:p>
    <w:p w14:paraId="304342AA" w14:textId="77777777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dijelovi obalnog područja izvan zona naselja i turističke aktivnosti, bez postojeće rasvjete </w:t>
      </w:r>
    </w:p>
    <w:p w14:paraId="1F613FF6" w14:textId="77777777" w:rsidR="00441020" w:rsidRPr="00441020" w:rsidRDefault="00441020" w:rsidP="00441020">
      <w:pPr>
        <w:spacing w:before="240" w:after="0"/>
        <w:jc w:val="both"/>
      </w:pPr>
      <w:r w:rsidRPr="00441020">
        <w:t>U zoni E0:</w:t>
      </w:r>
    </w:p>
    <w:p w14:paraId="70DF8FCA" w14:textId="7777777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 xml:space="preserve">vanjska rasvjeta se ne postavlja </w:t>
      </w:r>
    </w:p>
    <w:p w14:paraId="4B9C26E7" w14:textId="7777777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 xml:space="preserve">postojeća rasvjeta, ako postoji, koristi se isključivo iznimno u svrhu sigurnosti ljudi i interventnih situacija </w:t>
      </w:r>
    </w:p>
    <w:p w14:paraId="408D42C3" w14:textId="7777777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 xml:space="preserve">rasvjeta mora biti vremenski ograničena i koristiti se u minimalnom potrebnom opsegu </w:t>
      </w:r>
    </w:p>
    <w:p w14:paraId="0646FA53" w14:textId="7777777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 xml:space="preserve">u razdoblju </w:t>
      </w:r>
      <w:proofErr w:type="spellStart"/>
      <w:r w:rsidRPr="00441020">
        <w:t>svjetlostaja</w:t>
      </w:r>
      <w:proofErr w:type="spellEnd"/>
      <w:r w:rsidRPr="00441020">
        <w:t xml:space="preserve"> rasvjeta se gasi </w:t>
      </w:r>
    </w:p>
    <w:p w14:paraId="6BFE0091" w14:textId="77777777" w:rsidR="00441020" w:rsidRPr="00441020" w:rsidRDefault="00441020" w:rsidP="00441020">
      <w:pPr>
        <w:spacing w:before="240" w:after="0"/>
        <w:jc w:val="both"/>
      </w:pPr>
      <w:r w:rsidRPr="00441020">
        <w:lastRenderedPageBreak/>
        <w:t>Zona E0 ne obuhvaća dijelove obalnog područja i otoka na kojima postoji izgrađena infrastruktura, stalna noćna aktivnost ili sustav vanjske rasvjete.</w:t>
      </w:r>
    </w:p>
    <w:p w14:paraId="46384BC9" w14:textId="795F036A" w:rsidR="00BD1DB8" w:rsidRPr="00A77A03" w:rsidRDefault="00BD1DB8" w:rsidP="003A60D0">
      <w:pPr>
        <w:spacing w:before="240" w:after="0"/>
        <w:jc w:val="both"/>
        <w:rPr>
          <w:b/>
          <w:bCs/>
        </w:rPr>
      </w:pPr>
      <w:r w:rsidRPr="00A77A03">
        <w:rPr>
          <w:b/>
          <w:bCs/>
        </w:rPr>
        <w:t>Zona E1 – Područja tamnog krajolika</w:t>
      </w:r>
    </w:p>
    <w:p w14:paraId="265518B4" w14:textId="77777777" w:rsidR="000C48B2" w:rsidRPr="000C48B2" w:rsidRDefault="000C48B2" w:rsidP="0015301F">
      <w:pPr>
        <w:spacing w:before="240" w:after="0"/>
        <w:jc w:val="both"/>
      </w:pPr>
      <w:r w:rsidRPr="000C48B2">
        <w:t>U zoni E1 rasvjeta se koristi ograničeno, uzimajući u obzir potrebu očuvanja prirodnih noćnih uvjeta i smanjenja utjecaja na okoliš.</w:t>
      </w:r>
    </w:p>
    <w:p w14:paraId="29A18BAE" w14:textId="77777777" w:rsidR="000C48B2" w:rsidRPr="000C48B2" w:rsidRDefault="000C48B2" w:rsidP="0015301F">
      <w:pPr>
        <w:spacing w:before="240" w:after="0"/>
        <w:jc w:val="both"/>
      </w:pPr>
      <w:r w:rsidRPr="000C48B2">
        <w:t>U večernjem režimu rasvjeta se koristi isključivo u funkcionalne svrhe, kao što su sigurnost kretanja i osnovna orijentacija u prostoru, uz izbjegavanje prekomjernog osvjetljavanja.</w:t>
      </w:r>
    </w:p>
    <w:p w14:paraId="35786755" w14:textId="77777777" w:rsidR="000C48B2" w:rsidRPr="000C48B2" w:rsidRDefault="000C48B2" w:rsidP="0015301F">
      <w:pPr>
        <w:spacing w:before="240" w:after="0"/>
        <w:jc w:val="both"/>
      </w:pPr>
      <w:r w:rsidRPr="000C48B2">
        <w:t xml:space="preserve">U razdoblju </w:t>
      </w:r>
      <w:proofErr w:type="spellStart"/>
      <w:r w:rsidRPr="000C48B2">
        <w:t>svjetlostaja</w:t>
      </w:r>
      <w:proofErr w:type="spellEnd"/>
      <w:r w:rsidRPr="000C48B2">
        <w:t>:</w:t>
      </w:r>
    </w:p>
    <w:p w14:paraId="6720E88A" w14:textId="77777777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 xml:space="preserve">rasvjeta se u pravilu gasi </w:t>
      </w:r>
    </w:p>
    <w:p w14:paraId="7485ECF7" w14:textId="77777777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 xml:space="preserve">na lokacijama gdje je rasvjeta nužna radi sigurnosti (npr. pristupni putevi, pojedine prometne površine), rasvjeta se prigušuje na minimalnu dopuštenu razinu sukladno važećem Pravilniku </w:t>
      </w:r>
    </w:p>
    <w:p w14:paraId="50E0C314" w14:textId="77777777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 xml:space="preserve">dekorativna i krajobrazna rasvjeta se gasi </w:t>
      </w:r>
    </w:p>
    <w:p w14:paraId="59A8C023" w14:textId="77777777" w:rsidR="000C48B2" w:rsidRDefault="000C48B2" w:rsidP="0015301F">
      <w:pPr>
        <w:spacing w:before="240" w:after="0"/>
        <w:jc w:val="both"/>
      </w:pPr>
      <w:r w:rsidRPr="000C48B2">
        <w:t>U jutarnjem režimu rasvjeta ostaje ugašena ili se uključuje samo u minimalnom opsegu, ovisno o potrebi osiguravanja sigurnosti korisnika prostora.</w:t>
      </w:r>
    </w:p>
    <w:p w14:paraId="4CCE3F98" w14:textId="4FCBBCF9" w:rsidR="00977A5B" w:rsidRPr="00977A5B" w:rsidRDefault="00977A5B" w:rsidP="00977A5B">
      <w:pPr>
        <w:spacing w:before="240" w:after="0"/>
        <w:jc w:val="both"/>
      </w:pPr>
      <w:r w:rsidRPr="00977A5B">
        <w:t>Zona E1 na području Općine Pakoštane obuhvaća prijelazna područja između zone E0 (osobito područja uz Vransko jezero) i izgrađenih dijelova naselja, kao i dijelove zaleđa i obalnog prostora s ograničenom noćnom aktivnošću i bez kontinuirane rasvjete.</w:t>
      </w:r>
      <w:r>
        <w:t xml:space="preserve"> </w:t>
      </w:r>
      <w:r w:rsidRPr="00977A5B">
        <w:t>Zona E1 obuhvaća i pojedine dijelove otoka s ograničenim korištenjem i bez stalne rasvjetne infrastrukture.</w:t>
      </w:r>
    </w:p>
    <w:p w14:paraId="2517B1A9" w14:textId="765F0F54" w:rsidR="00F0583C" w:rsidRPr="00F0583C" w:rsidRDefault="00F0583C" w:rsidP="00FB5724">
      <w:pPr>
        <w:spacing w:before="240"/>
        <w:jc w:val="both"/>
        <w:rPr>
          <w:b/>
          <w:bCs/>
        </w:rPr>
      </w:pPr>
      <w:r w:rsidRPr="00F0583C">
        <w:rPr>
          <w:b/>
          <w:bCs/>
        </w:rPr>
        <w:t>Zona E2 – Područja niske ambijentalne rasvijetljenosti</w:t>
      </w:r>
    </w:p>
    <w:p w14:paraId="732FFD68" w14:textId="77777777" w:rsidR="00FB5724" w:rsidRPr="00FB5724" w:rsidRDefault="00FB5724" w:rsidP="00FB5724">
      <w:pPr>
        <w:spacing w:before="240" w:after="0"/>
        <w:jc w:val="both"/>
      </w:pPr>
      <w:r w:rsidRPr="00FB5724">
        <w:t>U zoni E2 rasvjeta se koristi radi osiguravanja sigurnosti kretanja i osnovne funkcionalnosti prostora, uz istovremeno ograničavanje nepotrebnog svjetlosnog onečišćenja.</w:t>
      </w:r>
    </w:p>
    <w:p w14:paraId="131976F8" w14:textId="77777777" w:rsidR="00FB5724" w:rsidRPr="00FB5724" w:rsidRDefault="00FB5724" w:rsidP="00FB5724">
      <w:pPr>
        <w:spacing w:before="240" w:after="0"/>
        <w:jc w:val="both"/>
      </w:pPr>
      <w:r w:rsidRPr="00FB5724">
        <w:t>U večernjem režimu rasvjeta radi u projektiranom intenzitetu, sukladno namjeni prostora, osobito na javnim površinama, prometnicama, šetnicama i u stambenim zonama.</w:t>
      </w:r>
    </w:p>
    <w:p w14:paraId="52F5C90E" w14:textId="77777777" w:rsidR="00FB5724" w:rsidRPr="00FB5724" w:rsidRDefault="00FB5724" w:rsidP="00FB5724">
      <w:pPr>
        <w:spacing w:before="240" w:after="0"/>
        <w:jc w:val="both"/>
      </w:pPr>
      <w:r w:rsidRPr="00FB5724">
        <w:t xml:space="preserve">U razdoblju </w:t>
      </w:r>
      <w:proofErr w:type="spellStart"/>
      <w:r w:rsidRPr="00FB5724">
        <w:t>svjetlostaja</w:t>
      </w:r>
      <w:proofErr w:type="spellEnd"/>
      <w:r w:rsidRPr="00FB5724">
        <w:t>:</w:t>
      </w:r>
    </w:p>
    <w:p w14:paraId="3A2F0A6F" w14:textId="77777777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rasvjeta se prigušuje na minimalnu razinu potrebnu za sigurnost kretanja </w:t>
      </w:r>
    </w:p>
    <w:p w14:paraId="39B010D4" w14:textId="77777777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na površinama s vrlo slabim noćnim korištenjem rasvjeta se može djelomično ili u potpunosti ugasiti </w:t>
      </w:r>
    </w:p>
    <w:p w14:paraId="328259F3" w14:textId="77777777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dekorativna i krajobrazna rasvjeta se prigušuje za najmanje 50% ili gasi </w:t>
      </w:r>
    </w:p>
    <w:p w14:paraId="4DC19D50" w14:textId="77777777" w:rsidR="00FB5724" w:rsidRDefault="00FB5724" w:rsidP="00FB5724">
      <w:pPr>
        <w:spacing w:before="240" w:after="0"/>
        <w:jc w:val="both"/>
      </w:pPr>
      <w:r w:rsidRPr="00FB5724">
        <w:t>U jutarnjem režimu rasvjeta ostaje u smanjenom intenzitetu ili se uključuje prema potrebi, ovisno o razini aktivnosti i sigurnosnim zahtjevima.</w:t>
      </w:r>
    </w:p>
    <w:p w14:paraId="1A4994C5" w14:textId="1BDEB9E9" w:rsidR="00A96220" w:rsidRPr="00FB5724" w:rsidRDefault="00A96220" w:rsidP="00FB5724">
      <w:pPr>
        <w:spacing w:before="240" w:after="0"/>
        <w:jc w:val="both"/>
      </w:pPr>
      <w:r w:rsidRPr="00A96220">
        <w:t>Zona E2 obuhvaća većinu izgrađenih dijelova naselja Općine Pakoštane, uključujući stambene zone, uređene dijelove obalnog pojasa, kampove te javne i turističke površine s umjerenom noćnom aktivnošću.</w:t>
      </w:r>
    </w:p>
    <w:p w14:paraId="7FB6A70D" w14:textId="77777777" w:rsidR="00B83DCB" w:rsidRPr="00B83DCB" w:rsidRDefault="00B83DCB" w:rsidP="00FB5724">
      <w:pPr>
        <w:spacing w:before="240"/>
        <w:jc w:val="both"/>
        <w:rPr>
          <w:b/>
          <w:bCs/>
        </w:rPr>
      </w:pPr>
      <w:r w:rsidRPr="00B83DCB">
        <w:rPr>
          <w:b/>
          <w:bCs/>
        </w:rPr>
        <w:t>Zona E3 – Područja srednje ambijentalne rasvijetljenosti</w:t>
      </w:r>
    </w:p>
    <w:p w14:paraId="1D33A38C" w14:textId="77777777" w:rsidR="00B83DCB" w:rsidRDefault="00B83DCB" w:rsidP="00DA26CC">
      <w:pPr>
        <w:spacing w:after="0"/>
        <w:jc w:val="both"/>
      </w:pPr>
      <w:r w:rsidRPr="00B83DCB">
        <w:t xml:space="preserve">U </w:t>
      </w:r>
      <w:proofErr w:type="spellStart"/>
      <w:r w:rsidRPr="00B83DCB">
        <w:t>svjetlostaju</w:t>
      </w:r>
      <w:proofErr w:type="spellEnd"/>
      <w:r w:rsidRPr="00B83DCB">
        <w:t xml:space="preserve"> rasvjeta se smanjuje sukladno opadanju razine aktivnosti, uz osiguravanje sigurnosti prometa i javnih površina.</w:t>
      </w:r>
    </w:p>
    <w:p w14:paraId="42971A7C" w14:textId="77777777" w:rsidR="003D0A91" w:rsidRPr="00692DBF" w:rsidRDefault="003D0A91" w:rsidP="00DB6A19">
      <w:pPr>
        <w:spacing w:before="240" w:after="240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lastRenderedPageBreak/>
        <w:t>3. BILANCA POKRIVENOSTI</w:t>
      </w:r>
    </w:p>
    <w:p w14:paraId="39DFCF5A" w14:textId="77777777" w:rsidR="003D0A91" w:rsidRPr="003D0A91" w:rsidRDefault="003D0A91" w:rsidP="00334F88">
      <w:pPr>
        <w:spacing w:after="240"/>
        <w:jc w:val="center"/>
        <w:rPr>
          <w:rFonts w:ascii="Aptos" w:hAnsi="Aptos"/>
        </w:rPr>
      </w:pPr>
      <w:r w:rsidRPr="003D0A91">
        <w:rPr>
          <w:rFonts w:ascii="Aptos" w:hAnsi="Aptos"/>
          <w:b/>
          <w:bCs/>
        </w:rPr>
        <w:t>Članak 7.</w:t>
      </w:r>
    </w:p>
    <w:p w14:paraId="114CCD32" w14:textId="77777777" w:rsidR="005B217B" w:rsidRPr="005B217B" w:rsidRDefault="005B217B" w:rsidP="005B217B">
      <w:pPr>
        <w:jc w:val="both"/>
        <w:rPr>
          <w:rFonts w:ascii="Aptos" w:hAnsi="Aptos"/>
        </w:rPr>
      </w:pPr>
      <w:r w:rsidRPr="005B217B">
        <w:rPr>
          <w:rFonts w:ascii="Aptos" w:hAnsi="Aptos"/>
        </w:rPr>
        <w:t>Bilanca pokrivenosti prikazuje raspodjelu površina po zonama rasvijetljenosti na području Općine Pakoštane, sukladno kartografskom prikazu „Zone rasvijetljenosti“.</w:t>
      </w:r>
    </w:p>
    <w:p w14:paraId="4A68A9BE" w14:textId="77777777" w:rsidR="005B217B" w:rsidRPr="005B217B" w:rsidRDefault="005B217B" w:rsidP="005B217B">
      <w:pPr>
        <w:jc w:val="both"/>
        <w:rPr>
          <w:rFonts w:ascii="Aptos" w:hAnsi="Aptos"/>
        </w:rPr>
      </w:pPr>
      <w:r w:rsidRPr="005B217B">
        <w:rPr>
          <w:rFonts w:ascii="Aptos" w:hAnsi="Aptos"/>
        </w:rPr>
        <w:t>U tablici su prikazane ukupne površine pojedinih zona rasvijetljenosti te njihov udio u ukupnoj površini obuhvata Plana.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63"/>
        <w:gridCol w:w="3816"/>
        <w:gridCol w:w="2958"/>
      </w:tblGrid>
      <w:tr w:rsidR="000A022D" w:rsidRPr="000A022D" w14:paraId="4A093022" w14:textId="77777777" w:rsidTr="000A022D">
        <w:trPr>
          <w:trHeight w:val="171"/>
        </w:trPr>
        <w:tc>
          <w:tcPr>
            <w:tcW w:w="13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59B0B4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ZONA</w:t>
            </w:r>
          </w:p>
        </w:tc>
        <w:tc>
          <w:tcPr>
            <w:tcW w:w="20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DCBD51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POVRŠINA (km2)</w:t>
            </w:r>
          </w:p>
        </w:tc>
        <w:tc>
          <w:tcPr>
            <w:tcW w:w="15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578153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UDIO (%)</w:t>
            </w:r>
          </w:p>
        </w:tc>
      </w:tr>
      <w:tr w:rsidR="00BA30DA" w:rsidRPr="000A022D" w14:paraId="17E3F916" w14:textId="77777777" w:rsidTr="000A022D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88602B" w14:textId="77777777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E0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DE26F7" w14:textId="634D77F8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A30D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70,56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89A74D" w14:textId="5B361717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A30D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84,51</w:t>
            </w:r>
          </w:p>
        </w:tc>
      </w:tr>
      <w:tr w:rsidR="00BA30DA" w:rsidRPr="000A022D" w14:paraId="23461D81" w14:textId="77777777" w:rsidTr="000A022D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D778BE" w14:textId="77777777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E1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3FC9E5" w14:textId="152787E2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A30D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6,72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312ADD" w14:textId="6C18FF77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A30D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8,04</w:t>
            </w:r>
          </w:p>
        </w:tc>
      </w:tr>
      <w:tr w:rsidR="00BA30DA" w:rsidRPr="000A022D" w14:paraId="1E0B43DE" w14:textId="77777777" w:rsidTr="000A022D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E6A0B3" w14:textId="77777777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E2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AFCDC4" w14:textId="1ABE6F82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A30D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5,74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75B0C4" w14:textId="289CE01A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A30D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6,87</w:t>
            </w:r>
          </w:p>
        </w:tc>
      </w:tr>
      <w:tr w:rsidR="00BA30DA" w:rsidRPr="000A022D" w14:paraId="18C16BC8" w14:textId="77777777" w:rsidTr="000A022D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376E5F" w14:textId="77777777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E3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91FA5E" w14:textId="3FE532C5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A30D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0,47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3EC968" w14:textId="7402FABC" w:rsidR="00BA30DA" w:rsidRPr="000A022D" w:rsidRDefault="00BA30DA" w:rsidP="00BA30D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BA30D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0,56</w:t>
            </w:r>
          </w:p>
        </w:tc>
      </w:tr>
      <w:tr w:rsidR="000A022D" w:rsidRPr="000A022D" w14:paraId="696D37F6" w14:textId="77777777" w:rsidTr="000A022D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5098B2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E4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FEB19D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0C2C9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</w:t>
            </w:r>
          </w:p>
        </w:tc>
      </w:tr>
      <w:tr w:rsidR="000A022D" w:rsidRPr="000A022D" w14:paraId="0A0154B7" w14:textId="77777777" w:rsidTr="000A022D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08D940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UKUPNO: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83208D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83,49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8492D2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100</w:t>
            </w:r>
          </w:p>
        </w:tc>
      </w:tr>
    </w:tbl>
    <w:p w14:paraId="3EB8D3CC" w14:textId="2C38D2A9" w:rsidR="00C101BF" w:rsidRDefault="00A77899" w:rsidP="00514E0F">
      <w:pPr>
        <w:spacing w:before="240"/>
        <w:jc w:val="center"/>
        <w:rPr>
          <w:rFonts w:ascii="Aptos" w:hAnsi="Aptos" w:cs="Arial"/>
          <w:bCs/>
        </w:rPr>
      </w:pPr>
      <w:r>
        <w:rPr>
          <w:noProof/>
        </w:rPr>
        <w:drawing>
          <wp:inline distT="0" distB="0" distL="0" distR="0" wp14:anchorId="1AF6791C" wp14:editId="7C90E73B">
            <wp:extent cx="4572000" cy="2743200"/>
            <wp:effectExtent l="0" t="0" r="0" b="0"/>
            <wp:docPr id="116161922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F6910541-8072-691C-0F37-DAA8FD1FC0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635DA2E" w14:textId="2FAA98E8" w:rsidR="007E1AAA" w:rsidRDefault="007E1AAA" w:rsidP="00FB3008">
      <w:pPr>
        <w:spacing w:before="240"/>
        <w:jc w:val="both"/>
        <w:rPr>
          <w:rFonts w:ascii="Aptos" w:hAnsi="Aptos" w:cs="Arial"/>
          <w:bCs/>
        </w:rPr>
      </w:pPr>
      <w:r w:rsidRPr="007E1AAA">
        <w:rPr>
          <w:rFonts w:ascii="Aptos" w:hAnsi="Aptos" w:cs="Arial"/>
          <w:bCs/>
        </w:rPr>
        <w:t>Bilanca pokrivenosti služi kao podloga za planiranje upravljanja vanjskom rasvjetom i definiranje mjera za smanjenje svjetlosnog onečišćenja, uzimajući u obzir prostorne karakteristike i namjenu pojedinih zona.</w:t>
      </w:r>
    </w:p>
    <w:p w14:paraId="3B2C1358" w14:textId="0FF0067E" w:rsidR="008C4119" w:rsidRPr="00692DBF" w:rsidRDefault="008C4119" w:rsidP="00FB3008">
      <w:pPr>
        <w:spacing w:before="240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 xml:space="preserve">4. MJERE ZAŠTITE POSEBNO OSJETLJIIVIH PODRUČJA </w:t>
      </w:r>
    </w:p>
    <w:p w14:paraId="7E0641F4" w14:textId="7ECC22BA" w:rsidR="008C4119" w:rsidRPr="00062CF9" w:rsidRDefault="008C4119" w:rsidP="00FB3008">
      <w:pPr>
        <w:ind w:right="281"/>
        <w:jc w:val="center"/>
        <w:rPr>
          <w:rFonts w:ascii="Aptos" w:hAnsi="Aptos"/>
        </w:rPr>
      </w:pPr>
      <w:r w:rsidRPr="00062CF9">
        <w:rPr>
          <w:rFonts w:ascii="Aptos" w:hAnsi="Aptos"/>
          <w:b/>
          <w:bCs/>
        </w:rPr>
        <w:t>Članak 8.</w:t>
      </w:r>
    </w:p>
    <w:p w14:paraId="6331036A" w14:textId="77777777" w:rsidR="00924BA8" w:rsidRPr="00924BA8" w:rsidRDefault="00924BA8" w:rsidP="00924BA8">
      <w:pPr>
        <w:spacing w:before="240"/>
        <w:jc w:val="both"/>
        <w:rPr>
          <w:rFonts w:ascii="Aptos" w:hAnsi="Aptos"/>
        </w:rPr>
      </w:pPr>
      <w:r w:rsidRPr="00924BA8">
        <w:rPr>
          <w:rFonts w:ascii="Aptos" w:hAnsi="Aptos"/>
        </w:rPr>
        <w:t>Na području Općine Pakoštane nalaze se posebno osjetljiva područja u smislu zaštite prirode, osobito područja ekološke mreže Natura 2000 i područje Vransko jezero.</w:t>
      </w:r>
    </w:p>
    <w:p w14:paraId="6A5CE64D" w14:textId="77777777" w:rsidR="00924BA8" w:rsidRPr="00F122C4" w:rsidRDefault="00924BA8" w:rsidP="00924BA8">
      <w:pPr>
        <w:spacing w:before="240"/>
        <w:jc w:val="both"/>
        <w:rPr>
          <w:rFonts w:ascii="Aptos" w:hAnsi="Aptos"/>
        </w:rPr>
      </w:pPr>
      <w:r w:rsidRPr="00924BA8">
        <w:rPr>
          <w:rFonts w:ascii="Aptos" w:hAnsi="Aptos"/>
        </w:rPr>
        <w:t>Radi zaštite prirodnih staništa, bioraznolikosti i očuvanja prirodnih noćnih uvjeta, u tim područjima primjenjuju se sljedeće mjere zaštite od svjetlosnog onečišćenja:</w:t>
      </w:r>
    </w:p>
    <w:p w14:paraId="50544536" w14:textId="77777777" w:rsidR="00C05558" w:rsidRPr="00F122C4" w:rsidRDefault="00C05558" w:rsidP="00C05558">
      <w:pPr>
        <w:pStyle w:val="Odlomakpopisa"/>
        <w:numPr>
          <w:ilvl w:val="1"/>
          <w:numId w:val="7"/>
        </w:numPr>
        <w:ind w:left="426" w:hanging="426"/>
        <w:rPr>
          <w:lang w:eastAsia="hr-HR"/>
        </w:rPr>
      </w:pPr>
      <w:r w:rsidRPr="00F122C4">
        <w:rPr>
          <w:lang w:eastAsia="hr-HR"/>
        </w:rPr>
        <w:t>Ograničenje postavljanja rasvjete</w:t>
      </w:r>
    </w:p>
    <w:p w14:paraId="6C598CF5" w14:textId="77777777" w:rsidR="00C0270E" w:rsidRPr="00F122C4" w:rsidRDefault="00C05558" w:rsidP="00C05558">
      <w:pPr>
        <w:pStyle w:val="Odlomakpopisa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lang w:eastAsia="hr-HR"/>
          <w14:ligatures w14:val="none"/>
        </w:rPr>
      </w:pPr>
      <w:r w:rsidRPr="00F122C4">
        <w:rPr>
          <w:rFonts w:eastAsia="Times New Roman" w:cs="Times New Roman"/>
          <w:kern w:val="0"/>
          <w:lang w:eastAsia="hr-HR"/>
          <w14:ligatures w14:val="none"/>
        </w:rPr>
        <w:lastRenderedPageBreak/>
        <w:t>vanjska rasvjeta planira se samo kada je nužna radi sigurnosti ljudi i prometa</w:t>
      </w:r>
    </w:p>
    <w:p w14:paraId="4C17ECAC" w14:textId="1CAB228F" w:rsidR="00C05558" w:rsidRPr="00C05558" w:rsidRDefault="00C05558" w:rsidP="00C05558">
      <w:pPr>
        <w:pStyle w:val="Odlomakpopisa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lang w:eastAsia="hr-HR"/>
          <w14:ligatures w14:val="none"/>
        </w:rPr>
      </w:pPr>
      <w:r w:rsidRPr="00C05558">
        <w:rPr>
          <w:rFonts w:eastAsia="Times New Roman" w:cs="Times New Roman"/>
          <w:kern w:val="0"/>
          <w:lang w:eastAsia="hr-HR"/>
          <w14:ligatures w14:val="none"/>
        </w:rPr>
        <w:t xml:space="preserve">izbjegava se postavljanje rasvjete u prirodnim i neizgrađenim područjima </w:t>
      </w:r>
    </w:p>
    <w:p w14:paraId="4CDF5E0C" w14:textId="77777777" w:rsidR="00C05558" w:rsidRPr="00C05558" w:rsidRDefault="00C05558" w:rsidP="00C0555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lang w:eastAsia="hr-HR"/>
          <w14:ligatures w14:val="none"/>
        </w:rPr>
      </w:pPr>
      <w:r w:rsidRPr="00C05558">
        <w:rPr>
          <w:rFonts w:eastAsia="Times New Roman" w:cs="Times New Roman"/>
          <w:kern w:val="0"/>
          <w:lang w:eastAsia="hr-HR"/>
          <w14:ligatures w14:val="none"/>
        </w:rPr>
        <w:t xml:space="preserve">zabranjuje se postavljanje nove rasvjete u zonama E0 </w:t>
      </w:r>
    </w:p>
    <w:p w14:paraId="11D932D2" w14:textId="5045DE49" w:rsidR="00C0270E" w:rsidRPr="00F122C4" w:rsidRDefault="00846684" w:rsidP="00846684">
      <w:pPr>
        <w:pStyle w:val="Odlomakpopisa"/>
        <w:numPr>
          <w:ilvl w:val="0"/>
          <w:numId w:val="13"/>
        </w:numPr>
        <w:spacing w:before="240"/>
        <w:ind w:left="426" w:hanging="426"/>
        <w:rPr>
          <w:lang w:eastAsia="hr-HR"/>
        </w:rPr>
      </w:pPr>
      <w:r w:rsidRPr="00F122C4">
        <w:rPr>
          <w:lang w:eastAsia="hr-HR"/>
        </w:rPr>
        <w:t xml:space="preserve"> </w:t>
      </w:r>
      <w:r w:rsidR="00C0270E" w:rsidRPr="00F122C4">
        <w:rPr>
          <w:lang w:eastAsia="hr-HR"/>
        </w:rPr>
        <w:t>Zaštita vodenih površina</w:t>
      </w:r>
    </w:p>
    <w:p w14:paraId="547F6C3E" w14:textId="77777777" w:rsidR="00C0270E" w:rsidRPr="00C0270E" w:rsidRDefault="00C0270E" w:rsidP="00C0270E">
      <w:pPr>
        <w:numPr>
          <w:ilvl w:val="0"/>
          <w:numId w:val="12"/>
        </w:numPr>
        <w:spacing w:after="0"/>
        <w:jc w:val="both"/>
        <w:rPr>
          <w:rFonts w:ascii="Aptos" w:hAnsi="Aptos"/>
        </w:rPr>
      </w:pPr>
      <w:r w:rsidRPr="00C0270E">
        <w:rPr>
          <w:rFonts w:ascii="Aptos" w:hAnsi="Aptos"/>
        </w:rPr>
        <w:t xml:space="preserve">nije dopušteno usmjeravanje svjetlosnih snopova prema vodi </w:t>
      </w:r>
    </w:p>
    <w:p w14:paraId="37686B14" w14:textId="77777777" w:rsidR="00C0270E" w:rsidRPr="00C0270E" w:rsidRDefault="00C0270E" w:rsidP="00C0270E">
      <w:pPr>
        <w:numPr>
          <w:ilvl w:val="0"/>
          <w:numId w:val="12"/>
        </w:numPr>
        <w:spacing w:after="0"/>
        <w:jc w:val="both"/>
        <w:rPr>
          <w:rFonts w:ascii="Aptos" w:hAnsi="Aptos"/>
        </w:rPr>
      </w:pPr>
      <w:r w:rsidRPr="00C0270E">
        <w:rPr>
          <w:rFonts w:ascii="Aptos" w:hAnsi="Aptos"/>
        </w:rPr>
        <w:t xml:space="preserve">zabranjuje se osvjetljavanje mora, jezera i drugih vodenih tijela </w:t>
      </w:r>
    </w:p>
    <w:p w14:paraId="3BE0AEF7" w14:textId="77777777" w:rsidR="00C0270E" w:rsidRPr="00C0270E" w:rsidRDefault="00C0270E" w:rsidP="00C0270E">
      <w:pPr>
        <w:numPr>
          <w:ilvl w:val="0"/>
          <w:numId w:val="12"/>
        </w:numPr>
        <w:spacing w:before="240" w:after="0"/>
        <w:jc w:val="both"/>
        <w:rPr>
          <w:rFonts w:ascii="Aptos" w:hAnsi="Aptos"/>
        </w:rPr>
      </w:pPr>
      <w:r w:rsidRPr="00C0270E">
        <w:rPr>
          <w:rFonts w:ascii="Aptos" w:hAnsi="Aptos"/>
        </w:rPr>
        <w:t>rasvjeta u obalnom pojasu mora biti usmjerena isključivo prema tlu</w:t>
      </w:r>
    </w:p>
    <w:p w14:paraId="5E2FCC70" w14:textId="010DD0F0" w:rsidR="00745D16" w:rsidRPr="00745D16" w:rsidRDefault="00745D16" w:rsidP="00486451">
      <w:pPr>
        <w:pStyle w:val="Odlomakpopisa"/>
        <w:numPr>
          <w:ilvl w:val="0"/>
          <w:numId w:val="13"/>
        </w:numPr>
        <w:spacing w:before="240"/>
        <w:ind w:left="426" w:hanging="426"/>
        <w:jc w:val="both"/>
        <w:rPr>
          <w:rFonts w:ascii="Aptos" w:hAnsi="Aptos"/>
        </w:rPr>
      </w:pPr>
      <w:r w:rsidRPr="00745D16">
        <w:rPr>
          <w:rFonts w:ascii="Aptos" w:hAnsi="Aptos"/>
        </w:rPr>
        <w:t>Ograničenje intenziteta i trajanja rasvjete</w:t>
      </w:r>
    </w:p>
    <w:p w14:paraId="6AC2C4D1" w14:textId="77777777" w:rsidR="00745D16" w:rsidRPr="00745D16" w:rsidRDefault="00745D16" w:rsidP="00745D16">
      <w:pPr>
        <w:numPr>
          <w:ilvl w:val="0"/>
          <w:numId w:val="14"/>
        </w:numPr>
        <w:spacing w:after="0"/>
        <w:jc w:val="both"/>
        <w:rPr>
          <w:rFonts w:ascii="Aptos" w:hAnsi="Aptos"/>
        </w:rPr>
      </w:pPr>
      <w:r w:rsidRPr="00745D16">
        <w:rPr>
          <w:rFonts w:ascii="Aptos" w:hAnsi="Aptos"/>
        </w:rPr>
        <w:t xml:space="preserve">rasvjeta se mora smanjiti ili ugasiti u razdoblju </w:t>
      </w:r>
      <w:proofErr w:type="spellStart"/>
      <w:r w:rsidRPr="00745D16">
        <w:rPr>
          <w:rFonts w:ascii="Aptos" w:hAnsi="Aptos"/>
        </w:rPr>
        <w:t>svjetlostaja</w:t>
      </w:r>
      <w:proofErr w:type="spellEnd"/>
      <w:r w:rsidRPr="00745D16">
        <w:rPr>
          <w:rFonts w:ascii="Aptos" w:hAnsi="Aptos"/>
        </w:rPr>
        <w:t xml:space="preserve"> </w:t>
      </w:r>
    </w:p>
    <w:p w14:paraId="4D0587DA" w14:textId="77777777" w:rsidR="00745D16" w:rsidRPr="00745D16" w:rsidRDefault="00745D16" w:rsidP="00745D16">
      <w:pPr>
        <w:numPr>
          <w:ilvl w:val="0"/>
          <w:numId w:val="14"/>
        </w:numPr>
        <w:spacing w:after="0"/>
        <w:jc w:val="both"/>
        <w:rPr>
          <w:rFonts w:ascii="Aptos" w:hAnsi="Aptos"/>
        </w:rPr>
      </w:pPr>
      <w:r w:rsidRPr="00745D16">
        <w:rPr>
          <w:rFonts w:ascii="Aptos" w:hAnsi="Aptos"/>
        </w:rPr>
        <w:t xml:space="preserve">koristi se minimalna razina rasvjete potrebna za sigurnost </w:t>
      </w:r>
    </w:p>
    <w:p w14:paraId="68398EAF" w14:textId="77777777" w:rsidR="00745D16" w:rsidRPr="00745D16" w:rsidRDefault="00745D16" w:rsidP="00745D16">
      <w:pPr>
        <w:numPr>
          <w:ilvl w:val="0"/>
          <w:numId w:val="14"/>
        </w:numPr>
        <w:jc w:val="both"/>
        <w:rPr>
          <w:rFonts w:ascii="Aptos" w:hAnsi="Aptos"/>
        </w:rPr>
      </w:pPr>
      <w:r w:rsidRPr="00745D16">
        <w:rPr>
          <w:rFonts w:ascii="Aptos" w:hAnsi="Aptos"/>
        </w:rPr>
        <w:t>dekorativna i krajobrazna rasvjeta prigušuje se za najmanje 50% ili se gasi</w:t>
      </w:r>
    </w:p>
    <w:p w14:paraId="15A422D0" w14:textId="28F11FEE" w:rsidR="00486451" w:rsidRPr="00486451" w:rsidRDefault="00486451" w:rsidP="00F964BE">
      <w:pPr>
        <w:pStyle w:val="Odlomakpopisa"/>
        <w:numPr>
          <w:ilvl w:val="0"/>
          <w:numId w:val="13"/>
        </w:numPr>
        <w:spacing w:before="240"/>
        <w:ind w:left="426" w:hanging="426"/>
        <w:jc w:val="both"/>
        <w:rPr>
          <w:rFonts w:ascii="Aptos" w:hAnsi="Aptos"/>
        </w:rPr>
      </w:pPr>
      <w:r w:rsidRPr="00486451">
        <w:rPr>
          <w:rFonts w:ascii="Aptos" w:hAnsi="Aptos"/>
        </w:rPr>
        <w:t>Tehničke karakteristike rasvjete</w:t>
      </w:r>
    </w:p>
    <w:p w14:paraId="54D844BA" w14:textId="77777777" w:rsidR="00486451" w:rsidRPr="00486451" w:rsidRDefault="00486451" w:rsidP="00486451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486451">
        <w:rPr>
          <w:rFonts w:ascii="Aptos" w:hAnsi="Aptos"/>
        </w:rPr>
        <w:t xml:space="preserve">koriste se svjetiljke koje ne emitiraju svjetlost iznad horizonta </w:t>
      </w:r>
    </w:p>
    <w:p w14:paraId="07D17222" w14:textId="77777777" w:rsidR="00486451" w:rsidRPr="00486451" w:rsidRDefault="00486451" w:rsidP="00486451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486451">
        <w:rPr>
          <w:rFonts w:ascii="Aptos" w:hAnsi="Aptos"/>
        </w:rPr>
        <w:t xml:space="preserve">primjenjuju se izvori svjetlosti s toplom bojom svjetlosti </w:t>
      </w:r>
    </w:p>
    <w:p w14:paraId="09143EAC" w14:textId="77777777" w:rsidR="00486451" w:rsidRPr="00486451" w:rsidRDefault="00486451" w:rsidP="00486451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486451">
        <w:rPr>
          <w:rFonts w:ascii="Aptos" w:hAnsi="Aptos"/>
        </w:rPr>
        <w:t>izbjegava se rasvjeta s izraženom plavom komponentom</w:t>
      </w:r>
    </w:p>
    <w:p w14:paraId="33385914" w14:textId="72C1F408" w:rsidR="00F96FA5" w:rsidRPr="00F96FA5" w:rsidRDefault="00F96FA5" w:rsidP="00F964BE">
      <w:pPr>
        <w:pStyle w:val="Odlomakpopisa"/>
        <w:numPr>
          <w:ilvl w:val="0"/>
          <w:numId w:val="13"/>
        </w:numPr>
        <w:spacing w:before="240"/>
        <w:ind w:left="426" w:hanging="426"/>
        <w:jc w:val="both"/>
        <w:rPr>
          <w:rFonts w:ascii="Aptos" w:hAnsi="Aptos"/>
        </w:rPr>
      </w:pPr>
      <w:r w:rsidRPr="00F96FA5">
        <w:rPr>
          <w:rFonts w:ascii="Aptos" w:hAnsi="Aptos"/>
        </w:rPr>
        <w:t>Zaštita faune i staništa</w:t>
      </w:r>
    </w:p>
    <w:p w14:paraId="13BE348D" w14:textId="206A5639" w:rsidR="00F96FA5" w:rsidRPr="00F96FA5" w:rsidRDefault="00F96FA5" w:rsidP="00F96FA5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F96FA5">
        <w:rPr>
          <w:rFonts w:ascii="Aptos" w:hAnsi="Aptos"/>
        </w:rPr>
        <w:t xml:space="preserve">osiguravaju se tamni koridori za kretanje životinja </w:t>
      </w:r>
    </w:p>
    <w:p w14:paraId="02F2C85D" w14:textId="1332EA4D" w:rsidR="00F96FA5" w:rsidRPr="00F96FA5" w:rsidRDefault="00F96FA5" w:rsidP="00F96FA5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F96FA5">
        <w:rPr>
          <w:rFonts w:ascii="Aptos" w:hAnsi="Aptos"/>
        </w:rPr>
        <w:t xml:space="preserve">ne smije se osvjetljavati ulaz/izlaz iz skloništa (npr. šišmiši) </w:t>
      </w:r>
    </w:p>
    <w:p w14:paraId="36FD41AC" w14:textId="04811ECE" w:rsidR="00F96FA5" w:rsidRPr="00F96FA5" w:rsidRDefault="00F96FA5" w:rsidP="00F96FA5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F96FA5">
        <w:rPr>
          <w:rFonts w:ascii="Aptos" w:hAnsi="Aptos"/>
        </w:rPr>
        <w:t>izbjegava se kontinuirana rasvjeta u područjima važnim za migraciju i hranjenje</w:t>
      </w:r>
    </w:p>
    <w:p w14:paraId="2B9E212F" w14:textId="77777777" w:rsidR="00F964BE" w:rsidRPr="00F964BE" w:rsidRDefault="00F964BE" w:rsidP="00F964BE">
      <w:pPr>
        <w:pStyle w:val="Odlomakpopisa"/>
        <w:numPr>
          <w:ilvl w:val="0"/>
          <w:numId w:val="13"/>
        </w:numPr>
        <w:spacing w:before="240"/>
        <w:ind w:left="426" w:hanging="426"/>
        <w:jc w:val="both"/>
        <w:rPr>
          <w:rFonts w:ascii="Aptos" w:hAnsi="Aptos"/>
        </w:rPr>
      </w:pPr>
      <w:r w:rsidRPr="00F964BE">
        <w:rPr>
          <w:rFonts w:ascii="Aptos" w:hAnsi="Aptos"/>
        </w:rPr>
        <w:t>Natura 2000 područja</w:t>
      </w:r>
    </w:p>
    <w:p w14:paraId="6C6BDADE" w14:textId="21053C74" w:rsidR="00F964BE" w:rsidRPr="00F964BE" w:rsidRDefault="00F964BE" w:rsidP="00F964BE">
      <w:pPr>
        <w:pStyle w:val="Odlomakpopisa"/>
        <w:numPr>
          <w:ilvl w:val="0"/>
          <w:numId w:val="5"/>
        </w:numPr>
        <w:spacing w:before="240"/>
        <w:jc w:val="both"/>
        <w:rPr>
          <w:rFonts w:ascii="Aptos" w:hAnsi="Aptos"/>
        </w:rPr>
      </w:pPr>
      <w:r w:rsidRPr="00F964BE">
        <w:rPr>
          <w:rFonts w:ascii="Aptos" w:hAnsi="Aptos"/>
        </w:rPr>
        <w:t>Područja ekološke mreže Natura 2000 razvrstavaju se u zone rasvijetljenosti sukladno stvarnoj namjeni prostora i razini noćne aktivnosti.</w:t>
      </w:r>
    </w:p>
    <w:p w14:paraId="00B86BD7" w14:textId="79305E35" w:rsidR="00F964BE" w:rsidRPr="00F964BE" w:rsidRDefault="00F964BE" w:rsidP="00F964BE">
      <w:pPr>
        <w:pStyle w:val="Odlomakpopisa"/>
        <w:numPr>
          <w:ilvl w:val="0"/>
          <w:numId w:val="5"/>
        </w:numPr>
        <w:spacing w:before="240"/>
        <w:jc w:val="both"/>
        <w:rPr>
          <w:rFonts w:ascii="Aptos" w:hAnsi="Aptos"/>
        </w:rPr>
      </w:pPr>
      <w:r w:rsidRPr="00F964BE">
        <w:rPr>
          <w:rFonts w:ascii="Aptos" w:hAnsi="Aptos"/>
        </w:rPr>
        <w:t>U tim područjima primjenjuju se dodatne mjere zaštite kako bi se smanjio utjecaj rasvjete na staništa i vrste osjetljive na svjetlosno onečišćenje.</w:t>
      </w:r>
    </w:p>
    <w:p w14:paraId="1C9C3707" w14:textId="60AFF38F" w:rsidR="00F964BE" w:rsidRDefault="00953237" w:rsidP="00F96FA5">
      <w:pPr>
        <w:spacing w:before="240"/>
        <w:jc w:val="both"/>
        <w:rPr>
          <w:rFonts w:ascii="Aptos" w:hAnsi="Aptos"/>
        </w:rPr>
      </w:pPr>
      <w:r w:rsidRPr="00953237">
        <w:rPr>
          <w:rFonts w:ascii="Aptos" w:hAnsi="Aptos"/>
        </w:rPr>
        <w:t>Sve mjere primjenjuju se uzimajući u obzir očuvanje prirodnih noćnih uvjeta kao važnog čimbenika zaštite okoliša i bioraznolikosti.</w:t>
      </w:r>
    </w:p>
    <w:p w14:paraId="08FB6487" w14:textId="77777777" w:rsidR="00FD79F6" w:rsidRDefault="00FD79F6">
      <w:pPr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br w:type="page"/>
      </w:r>
    </w:p>
    <w:p w14:paraId="0FC1E604" w14:textId="35D00923" w:rsidR="006E149F" w:rsidRPr="00692DBF" w:rsidRDefault="006E149F" w:rsidP="006E149F">
      <w:pPr>
        <w:spacing w:before="240"/>
        <w:jc w:val="both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lastRenderedPageBreak/>
        <w:t>III. ZAVRŠNE ODREBE</w:t>
      </w:r>
      <w:r w:rsidRPr="00692DBF">
        <w:rPr>
          <w:rFonts w:ascii="Aptos" w:hAnsi="Aptos"/>
          <w:sz w:val="24"/>
          <w:szCs w:val="24"/>
        </w:rPr>
        <w:t xml:space="preserve"> </w:t>
      </w:r>
    </w:p>
    <w:p w14:paraId="0B8349AB" w14:textId="159E4669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 xml:space="preserve">Članak </w:t>
      </w:r>
      <w:r w:rsidR="00FB3008">
        <w:rPr>
          <w:rFonts w:ascii="Aptos" w:hAnsi="Aptos"/>
          <w:b/>
          <w:bCs/>
        </w:rPr>
        <w:t>9</w:t>
      </w:r>
      <w:r w:rsidRPr="006E149F">
        <w:rPr>
          <w:rFonts w:ascii="Aptos" w:hAnsi="Aptos"/>
          <w:b/>
          <w:bCs/>
        </w:rPr>
        <w:t>.</w:t>
      </w:r>
    </w:p>
    <w:p w14:paraId="149ACB6F" w14:textId="77777777" w:rsidR="006E149F" w:rsidRPr="006E149F" w:rsidRDefault="006E149F" w:rsidP="006E149F">
      <w:pPr>
        <w:ind w:right="281"/>
        <w:jc w:val="both"/>
        <w:rPr>
          <w:rFonts w:ascii="Aptos" w:hAnsi="Aptos"/>
        </w:rPr>
      </w:pPr>
      <w:r w:rsidRPr="006E149F">
        <w:rPr>
          <w:rFonts w:ascii="Aptos" w:hAnsi="Aptos"/>
        </w:rPr>
        <w:t xml:space="preserve">Za potrebe usklađenja vanjske rasvjete potrebno je napraviti Akcijski plan gradnje i/ili rekonstrukcije vanjske rasvjete na period od 5 godina. </w:t>
      </w:r>
    </w:p>
    <w:p w14:paraId="38641EF5" w14:textId="39089864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>Članak 1</w:t>
      </w:r>
      <w:r w:rsidR="00FB3008">
        <w:rPr>
          <w:rFonts w:ascii="Aptos" w:hAnsi="Aptos"/>
          <w:b/>
          <w:bCs/>
        </w:rPr>
        <w:t>0</w:t>
      </w:r>
      <w:r w:rsidRPr="006E149F">
        <w:rPr>
          <w:rFonts w:ascii="Aptos" w:hAnsi="Aptos"/>
          <w:b/>
          <w:bCs/>
        </w:rPr>
        <w:t>.</w:t>
      </w:r>
    </w:p>
    <w:p w14:paraId="6A0B113E" w14:textId="77777777" w:rsidR="006E149F" w:rsidRPr="006E149F" w:rsidRDefault="006E149F" w:rsidP="006E149F">
      <w:pPr>
        <w:ind w:right="281"/>
        <w:jc w:val="both"/>
        <w:rPr>
          <w:rFonts w:ascii="Aptos" w:hAnsi="Aptos"/>
        </w:rPr>
      </w:pPr>
      <w:r w:rsidRPr="006E149F">
        <w:rPr>
          <w:rFonts w:ascii="Aptos" w:hAnsi="Aptos"/>
        </w:rPr>
        <w:t>Plan rasvjete je rađen sukladno važećim prostornim planovima, te svaka promjena prostornih planova koja bitno utječe na područja korištenja, treba biti zavedena i nadopunjena u Planu rasvjete.</w:t>
      </w:r>
    </w:p>
    <w:p w14:paraId="5C0288B1" w14:textId="1F6C87F7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>Članak 1</w:t>
      </w:r>
      <w:r w:rsidR="00FB3008">
        <w:rPr>
          <w:rFonts w:ascii="Aptos" w:hAnsi="Aptos"/>
          <w:b/>
          <w:bCs/>
        </w:rPr>
        <w:t>1</w:t>
      </w:r>
      <w:r w:rsidRPr="006E149F">
        <w:rPr>
          <w:rFonts w:ascii="Aptos" w:hAnsi="Aptos"/>
          <w:b/>
          <w:bCs/>
        </w:rPr>
        <w:t>.</w:t>
      </w:r>
    </w:p>
    <w:p w14:paraId="0259CE60" w14:textId="13A2B62A" w:rsidR="006E149F" w:rsidRPr="00692DBF" w:rsidRDefault="006E149F" w:rsidP="006530D0">
      <w:pPr>
        <w:ind w:right="281"/>
        <w:jc w:val="both"/>
        <w:rPr>
          <w:rFonts w:ascii="Aptos" w:hAnsi="Aptos"/>
          <w:sz w:val="24"/>
          <w:szCs w:val="24"/>
        </w:rPr>
      </w:pPr>
      <w:r w:rsidRPr="006E149F">
        <w:rPr>
          <w:rFonts w:ascii="Aptos" w:hAnsi="Aptos"/>
        </w:rPr>
        <w:t>Rezultati savjetovanja sa zainteresiranom javnošću</w:t>
      </w:r>
      <w:r w:rsidR="000F7CEF">
        <w:rPr>
          <w:rFonts w:ascii="Aptos" w:hAnsi="Aptos"/>
        </w:rPr>
        <w:t xml:space="preserve"> nalaze se u Prilogu III</w:t>
      </w:r>
      <w:r w:rsidRPr="006E149F">
        <w:rPr>
          <w:rFonts w:ascii="Aptos" w:hAnsi="Aptos"/>
        </w:rPr>
        <w:t>.</w:t>
      </w:r>
    </w:p>
    <w:p w14:paraId="47A80A1E" w14:textId="77777777" w:rsidR="00E85635" w:rsidRDefault="00E85635"/>
    <w:p w14:paraId="6656859C" w14:textId="40B23F7C" w:rsidR="008E5298" w:rsidRPr="00E47EFF" w:rsidRDefault="008E5298" w:rsidP="00E47EFF">
      <w:pPr>
        <w:jc w:val="center"/>
        <w:rPr>
          <w:b/>
          <w:bCs/>
        </w:rPr>
      </w:pPr>
      <w:r w:rsidRPr="00E47EFF">
        <w:rPr>
          <w:b/>
          <w:bCs/>
        </w:rPr>
        <w:t>Članak 12.</w:t>
      </w:r>
    </w:p>
    <w:p w14:paraId="1A48479A" w14:textId="77777777" w:rsidR="00F342BF" w:rsidRDefault="008E5298" w:rsidP="00056C8D">
      <w:r>
        <w:t xml:space="preserve">Ova Odluka </w:t>
      </w:r>
      <w:r w:rsidR="00F342BF">
        <w:t xml:space="preserve">objavit će se u Službenom glasniku Općine Pakoštane i na Internet stranici Općine Pakoštane </w:t>
      </w:r>
      <w:hyperlink r:id="rId8" w:history="1">
        <w:r w:rsidR="00F342BF" w:rsidRPr="00AA3725">
          <w:rPr>
            <w:rStyle w:val="Hiperveza"/>
          </w:rPr>
          <w:t>www.opcina-pakostane.hr</w:t>
        </w:r>
      </w:hyperlink>
      <w:r w:rsidR="00F342BF">
        <w:t xml:space="preserve"> </w:t>
      </w:r>
    </w:p>
    <w:p w14:paraId="1853D9AB" w14:textId="52CBF995" w:rsidR="00056C8D" w:rsidRDefault="00F342BF" w:rsidP="00056C8D">
      <w:r>
        <w:t xml:space="preserve">Ova Odluka </w:t>
      </w:r>
      <w:r w:rsidR="008E5298">
        <w:t>stupa na snagu osmog dana od dana objave u Službenom glasniku Općine Pakoštane.</w:t>
      </w:r>
    </w:p>
    <w:p w14:paraId="12914E8E" w14:textId="77777777" w:rsidR="00056C8D" w:rsidRDefault="00056C8D" w:rsidP="00056C8D"/>
    <w:p w14:paraId="4EE81A83" w14:textId="50582596" w:rsidR="00056C8D" w:rsidRPr="00056C8D" w:rsidRDefault="00056C8D" w:rsidP="00056C8D">
      <w:r w:rsidRPr="00056C8D">
        <w:t>KLASA: 024-04/26-01/</w:t>
      </w:r>
      <w:r>
        <w:t>__</w:t>
      </w:r>
    </w:p>
    <w:p w14:paraId="394DFD64" w14:textId="7854C667" w:rsidR="00056C8D" w:rsidRPr="00056C8D" w:rsidRDefault="00056C8D" w:rsidP="00056C8D">
      <w:r w:rsidRPr="00056C8D">
        <w:t>URBROJ: 2198-18-02-01-26-0</w:t>
      </w:r>
      <w:r>
        <w:t>2</w:t>
      </w:r>
    </w:p>
    <w:p w14:paraId="7FFEAB15" w14:textId="7E753D1D" w:rsidR="00056C8D" w:rsidRPr="00056C8D" w:rsidRDefault="00056C8D" w:rsidP="00056C8D">
      <w:r w:rsidRPr="00056C8D">
        <w:t xml:space="preserve">Pakoštane, </w:t>
      </w:r>
      <w:r>
        <w:t>_______________</w:t>
      </w:r>
      <w:r w:rsidRPr="00056C8D">
        <w:t xml:space="preserve"> 2026. godine </w:t>
      </w:r>
    </w:p>
    <w:p w14:paraId="67F648F3" w14:textId="77777777" w:rsidR="00056C8D" w:rsidRPr="00056C8D" w:rsidRDefault="00056C8D" w:rsidP="00056C8D"/>
    <w:p w14:paraId="68706FD4" w14:textId="595178A8" w:rsidR="00F342BF" w:rsidRDefault="00056C8D" w:rsidP="00F342BF">
      <w:pPr>
        <w:spacing w:after="0"/>
        <w:rPr>
          <w:b/>
          <w:bCs/>
        </w:rPr>
      </w:pPr>
      <w:r w:rsidRPr="00056C8D">
        <w:tab/>
      </w:r>
      <w:r w:rsidRPr="00056C8D">
        <w:tab/>
      </w:r>
      <w:r w:rsidRPr="00056C8D">
        <w:tab/>
      </w:r>
      <w:r w:rsidRPr="00056C8D">
        <w:tab/>
        <w:t xml:space="preserve">                </w:t>
      </w:r>
      <w:r>
        <w:tab/>
      </w:r>
      <w:r>
        <w:tab/>
      </w:r>
      <w:r w:rsidRPr="00056C8D">
        <w:t xml:space="preserve">      </w:t>
      </w:r>
      <w:r w:rsidRPr="00056C8D">
        <w:rPr>
          <w:b/>
          <w:bCs/>
        </w:rPr>
        <w:t>OPĆINSKO VIJEĆE OPĆINE PAKOŠTANE</w:t>
      </w:r>
      <w:r w:rsidRPr="00056C8D">
        <w:rPr>
          <w:b/>
          <w:bCs/>
        </w:rPr>
        <w:tab/>
        <w:t xml:space="preserve">                         </w:t>
      </w:r>
    </w:p>
    <w:p w14:paraId="6E598A16" w14:textId="2FFBC2E4" w:rsidR="00056C8D" w:rsidRPr="00056C8D" w:rsidRDefault="00056C8D" w:rsidP="00F342BF">
      <w:pPr>
        <w:spacing w:after="0"/>
        <w:ind w:left="5664" w:firstLine="708"/>
        <w:rPr>
          <w:b/>
          <w:bCs/>
        </w:rPr>
      </w:pPr>
      <w:r w:rsidRPr="00056C8D">
        <w:rPr>
          <w:b/>
          <w:bCs/>
        </w:rPr>
        <w:t xml:space="preserve">   Predsjednik </w:t>
      </w:r>
    </w:p>
    <w:p w14:paraId="7C1358D6" w14:textId="51A72CDB" w:rsidR="00056C8D" w:rsidRPr="00056C8D" w:rsidRDefault="00056C8D" w:rsidP="00F342BF">
      <w:pPr>
        <w:spacing w:after="0"/>
        <w:rPr>
          <w:b/>
          <w:bCs/>
        </w:rPr>
      </w:pPr>
      <w:r w:rsidRPr="00056C8D">
        <w:rPr>
          <w:b/>
          <w:bCs/>
        </w:rPr>
        <w:tab/>
      </w:r>
      <w:r w:rsidRPr="00056C8D">
        <w:rPr>
          <w:b/>
          <w:bCs/>
        </w:rPr>
        <w:tab/>
      </w:r>
      <w:r w:rsidRPr="00056C8D">
        <w:rPr>
          <w:b/>
          <w:bCs/>
        </w:rPr>
        <w:tab/>
      </w:r>
      <w:r w:rsidRPr="00056C8D">
        <w:rPr>
          <w:b/>
          <w:bCs/>
        </w:rPr>
        <w:tab/>
      </w:r>
      <w:r w:rsidRPr="00056C8D">
        <w:rPr>
          <w:b/>
          <w:bCs/>
        </w:rPr>
        <w:tab/>
      </w:r>
      <w:r w:rsidRPr="00056C8D">
        <w:rPr>
          <w:b/>
          <w:bCs/>
        </w:rPr>
        <w:tab/>
      </w:r>
      <w:r w:rsidRPr="00056C8D">
        <w:rPr>
          <w:b/>
          <w:bCs/>
        </w:rPr>
        <w:tab/>
      </w:r>
      <w:r w:rsidRPr="00056C8D">
        <w:rPr>
          <w:b/>
          <w:bCs/>
        </w:rPr>
        <w:tab/>
      </w:r>
      <w:r>
        <w:rPr>
          <w:b/>
          <w:bCs/>
        </w:rPr>
        <w:t xml:space="preserve">         </w:t>
      </w:r>
      <w:r w:rsidR="00F342BF">
        <w:rPr>
          <w:b/>
          <w:bCs/>
        </w:rPr>
        <w:t xml:space="preserve">         </w:t>
      </w:r>
      <w:r w:rsidRPr="00056C8D">
        <w:rPr>
          <w:b/>
          <w:bCs/>
        </w:rPr>
        <w:t xml:space="preserve">Marin Barešić </w:t>
      </w:r>
    </w:p>
    <w:p w14:paraId="0D440AD9" w14:textId="77777777" w:rsidR="00056C8D" w:rsidRPr="00056C8D" w:rsidRDefault="00056C8D" w:rsidP="00056C8D">
      <w:pPr>
        <w:rPr>
          <w:b/>
          <w:bCs/>
        </w:rPr>
      </w:pPr>
    </w:p>
    <w:p w14:paraId="28220CA3" w14:textId="77777777" w:rsidR="008E5298" w:rsidRDefault="008E5298"/>
    <w:p w14:paraId="7F728A5C" w14:textId="77777777" w:rsidR="00846941" w:rsidRDefault="00846941" w:rsidP="00E47EFF">
      <w:pPr>
        <w:jc w:val="right"/>
        <w:rPr>
          <w:rFonts w:ascii="Aptos" w:hAnsi="Aptos"/>
        </w:rPr>
      </w:pPr>
    </w:p>
    <w:p w14:paraId="28819F1D" w14:textId="531CA4FE" w:rsidR="006530D0" w:rsidRPr="000D21E3" w:rsidRDefault="006530D0">
      <w:r w:rsidRPr="000D21E3">
        <w:br w:type="page"/>
      </w:r>
    </w:p>
    <w:p w14:paraId="7970E2AA" w14:textId="469FF6EF" w:rsidR="006530D0" w:rsidRPr="006530D0" w:rsidRDefault="006530D0" w:rsidP="006530D0">
      <w:pPr>
        <w:jc w:val="both"/>
        <w:rPr>
          <w:rFonts w:ascii="Aptos" w:hAnsi="Aptos"/>
          <w:b/>
          <w:bCs/>
          <w:sz w:val="24"/>
          <w:szCs w:val="24"/>
        </w:rPr>
      </w:pPr>
      <w:r w:rsidRPr="006530D0">
        <w:rPr>
          <w:rFonts w:ascii="Aptos" w:hAnsi="Aptos"/>
          <w:b/>
          <w:bCs/>
          <w:sz w:val="24"/>
          <w:szCs w:val="24"/>
        </w:rPr>
        <w:lastRenderedPageBreak/>
        <w:t>PRILOG</w:t>
      </w:r>
      <w:r w:rsidR="006869EF">
        <w:rPr>
          <w:rFonts w:ascii="Aptos" w:hAnsi="Aptos"/>
          <w:b/>
          <w:bCs/>
          <w:sz w:val="24"/>
          <w:szCs w:val="24"/>
        </w:rPr>
        <w:t xml:space="preserve"> I</w:t>
      </w:r>
      <w:r w:rsidRPr="006530D0">
        <w:rPr>
          <w:rFonts w:ascii="Aptos" w:hAnsi="Aptos"/>
          <w:b/>
          <w:bCs/>
          <w:sz w:val="24"/>
          <w:szCs w:val="24"/>
        </w:rPr>
        <w:t>: ATRIBUTNE TABLICE</w:t>
      </w:r>
    </w:p>
    <w:p w14:paraId="2ACDB532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sastavni su dio kartografskih prikaza Plana rasvjete te sadrže strukturirane podatke o zonama rasvijetljenosti i pripadajućim prostornim cjelinama.</w:t>
      </w:r>
    </w:p>
    <w:p w14:paraId="30AD18B4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izrađene su u skladu s Prilogom II. i Prilogom III. Pravilnika o sadržaju, formatu i načinu izrade plana rasvjete i akcijskog plana gradnje i/ili rekonstrukcije vanjske rasvjete („Narodne novine“, broj 22/23).</w:t>
      </w:r>
    </w:p>
    <w:p w14:paraId="7B998D8D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Tablice sadrže osobito sljedeće podatke:</w:t>
      </w:r>
    </w:p>
    <w:p w14:paraId="4CD84419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naziv jedinice lokalne samouprave </w:t>
      </w:r>
    </w:p>
    <w:p w14:paraId="1FB93FE3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identifikacijske oznake prostora </w:t>
      </w:r>
    </w:p>
    <w:p w14:paraId="20D4A1E9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oznaku zone rasvijetljenosti (E0–E4) </w:t>
      </w:r>
    </w:p>
    <w:p w14:paraId="18543533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opis i namjenu područja </w:t>
      </w:r>
    </w:p>
    <w:p w14:paraId="718998ED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površine zona rasvijetljenosti </w:t>
      </w:r>
    </w:p>
    <w:p w14:paraId="46BCAD2A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>podatke o režimu rada rasvjete (</w:t>
      </w:r>
      <w:proofErr w:type="spellStart"/>
      <w:r w:rsidRPr="008F0ECF">
        <w:rPr>
          <w:rFonts w:ascii="Aptos" w:hAnsi="Aptos"/>
        </w:rPr>
        <w:t>svjetlostaj</w:t>
      </w:r>
      <w:proofErr w:type="spellEnd"/>
      <w:r w:rsidRPr="008F0ECF">
        <w:rPr>
          <w:rFonts w:ascii="Aptos" w:hAnsi="Aptos"/>
        </w:rPr>
        <w:t xml:space="preserve">) </w:t>
      </w:r>
    </w:p>
    <w:p w14:paraId="4F4C01D8" w14:textId="77777777" w:rsidR="008F0ECF" w:rsidRPr="008F0ECF" w:rsidRDefault="008F0ECF" w:rsidP="008F0ECF">
      <w:pPr>
        <w:spacing w:before="240"/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služe za sustavno evidentiranje i obradu prostornih podataka te predstavljaju podlogu za planiranje, upravljanje i praćenje sustava vanjske rasvjete.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64"/>
        <w:gridCol w:w="2189"/>
        <w:gridCol w:w="1482"/>
        <w:gridCol w:w="4102"/>
      </w:tblGrid>
      <w:tr w:rsidR="00280DC6" w:rsidRPr="006530B0" w14:paraId="262AAAEA" w14:textId="77777777" w:rsidTr="0033331E">
        <w:trPr>
          <w:trHeight w:val="465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E9CA5"/>
            <w:noWrap/>
            <w:vAlign w:val="center"/>
            <w:hideMark/>
          </w:tcPr>
          <w:p w14:paraId="0E2B175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E0</w:t>
            </w:r>
          </w:p>
        </w:tc>
      </w:tr>
      <w:tr w:rsidR="00BC2434" w:rsidRPr="006530B0" w14:paraId="7E33E1C2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EB8BBA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5C4BAA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CFA49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E9AA37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BC2434" w:rsidRPr="006530B0" w14:paraId="2A53B02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8D15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33551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550BF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B8885B" w14:textId="19BB1EDD" w:rsidR="006530B0" w:rsidRPr="006530B0" w:rsidRDefault="00B67265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 xml:space="preserve">Općina </w:t>
            </w:r>
            <w:r w:rsidR="00C97126"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P</w:t>
            </w: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akoštane</w:t>
            </w:r>
          </w:p>
        </w:tc>
      </w:tr>
      <w:tr w:rsidR="00BC2434" w:rsidRPr="006530B0" w14:paraId="0A3BC7CE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997845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A7E070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9D559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5A74B3" w14:textId="2977D003" w:rsidR="006530B0" w:rsidRPr="006530B0" w:rsidRDefault="00C97126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20260227</w:t>
            </w:r>
          </w:p>
        </w:tc>
      </w:tr>
      <w:tr w:rsidR="00BC2434" w:rsidRPr="006530B0" w14:paraId="60ADBAD9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6CD5F8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96469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6DD767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ED5A4B" w14:textId="19A50285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 w:rsidR="00C97126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6530B0" w14:paraId="04F99E27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E5FB3D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415E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29D28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7D7B8D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E0</w:t>
            </w:r>
          </w:p>
        </w:tc>
      </w:tr>
      <w:tr w:rsidR="00BC2434" w:rsidRPr="006530B0" w14:paraId="5D4B6B79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4EE0B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9D1ED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43DD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B491D5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Šume i šumsko zemljište, zaštitne zelene površine, područja pod Direktivom o staništima i pticama.</w:t>
            </w:r>
          </w:p>
        </w:tc>
      </w:tr>
      <w:tr w:rsidR="00B67265" w:rsidRPr="006530B0" w14:paraId="0A324D4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66EBA8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6B58AF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360472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555F34" w14:textId="71392A5F" w:rsidR="00B67265" w:rsidRPr="003B00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highlight w:val="yellow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6530B0" w14:paraId="4F35E11F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CB21D0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DD08EB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C0FD7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E8774E" w14:textId="6BB42870" w:rsidR="00B67265" w:rsidRPr="003B00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highlight w:val="yellow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6530B0" w14:paraId="1D8607C5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0A50C7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C9DF6C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Tip </w:t>
            </w: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8D191C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093013" w14:textId="46595E71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6530B0" w14:paraId="3F63909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E4D34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89316B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39905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6240F9" w14:textId="1D4E1442" w:rsidR="006530B0" w:rsidRPr="006530B0" w:rsidRDefault="00E41A3C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70,56</w:t>
            </w:r>
          </w:p>
        </w:tc>
      </w:tr>
      <w:tr w:rsidR="00BC2434" w:rsidRPr="006530B0" w14:paraId="1E3CBA8F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AE953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9E7CA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21C6B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D0904E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64C0A24F" w14:textId="35238CCD" w:rsidR="00184C76" w:rsidRDefault="00456AD2" w:rsidP="00456AD2">
      <w:pPr>
        <w:tabs>
          <w:tab w:val="left" w:pos="1065"/>
        </w:tabs>
        <w:spacing w:after="0"/>
        <w:jc w:val="both"/>
      </w:pPr>
      <w:r>
        <w:tab/>
      </w:r>
    </w:p>
    <w:p w14:paraId="5DF7780F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32D59709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4BE931A4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56BDBCD6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1B1D7E25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5879F34E" w14:textId="77777777" w:rsidR="00E325C5" w:rsidRDefault="00E325C5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96"/>
        <w:gridCol w:w="2390"/>
        <w:gridCol w:w="1593"/>
        <w:gridCol w:w="3658"/>
      </w:tblGrid>
      <w:tr w:rsidR="00280DC6" w:rsidRPr="006045BF" w14:paraId="7FD3E545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7D6C8"/>
            <w:noWrap/>
            <w:vAlign w:val="center"/>
            <w:hideMark/>
          </w:tcPr>
          <w:p w14:paraId="00EC2F0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E1</w:t>
            </w:r>
          </w:p>
        </w:tc>
      </w:tr>
      <w:tr w:rsidR="00BC2434" w:rsidRPr="006045BF" w14:paraId="44C0AFD1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0F72D6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B58158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2FBB59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332FE2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6045BF" w14:paraId="591435FC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5C00A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4514AD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3710E8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9068E0" w14:textId="3A94BE73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Pakoštane</w:t>
            </w:r>
          </w:p>
        </w:tc>
      </w:tr>
      <w:tr w:rsidR="00C97126" w:rsidRPr="006045BF" w14:paraId="4462423E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7F1DD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B6AC02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F1CB54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121FFF" w14:textId="7C6A97A3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20260227</w:t>
            </w:r>
          </w:p>
        </w:tc>
      </w:tr>
      <w:tr w:rsidR="00C97126" w:rsidRPr="006045BF" w14:paraId="0CBCB879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941EBE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6C06D0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4E1E5A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EF0C6F" w14:textId="0FB306C2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6045BF" w14:paraId="4C825E7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FDABA3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AE501A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43BEA6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F5D1E8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E1</w:t>
            </w:r>
          </w:p>
        </w:tc>
      </w:tr>
      <w:tr w:rsidR="00BC2434" w:rsidRPr="006045BF" w14:paraId="705FC07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6EC303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3C2460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4C725B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CBF417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Poljoprivredno tlo, cestovna infrastruktura, površine javnog zelenila</w:t>
            </w:r>
          </w:p>
        </w:tc>
      </w:tr>
      <w:tr w:rsidR="00B67265" w:rsidRPr="006045BF" w14:paraId="2B65E018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77238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9591DB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od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094B4A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9A095C" w14:textId="2FF897A8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6045BF" w14:paraId="6E44B261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52D21B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534A66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do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59F6CE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5E2F2E" w14:textId="75167601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6045BF" w14:paraId="183767DE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7C15B1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591B38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Tip </w:t>
            </w: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svjetlostaja</w:t>
            </w:r>
            <w:proofErr w:type="spellEnd"/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75E6BF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21F818" w14:textId="6D85207E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6045BF" w14:paraId="1DC73DB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87D80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1366C7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5A9A84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67299" w14:textId="39C60427" w:rsidR="006045BF" w:rsidRPr="006045BF" w:rsidRDefault="00C772C7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6,72</w:t>
            </w:r>
          </w:p>
        </w:tc>
      </w:tr>
      <w:tr w:rsidR="00BC2434" w:rsidRPr="006045BF" w14:paraId="0A414C8A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9738B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66ECBD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94F409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2F44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7946E282" w14:textId="77777777" w:rsidR="006530B0" w:rsidRDefault="006530B0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55"/>
        <w:gridCol w:w="2168"/>
        <w:gridCol w:w="1485"/>
        <w:gridCol w:w="4129"/>
      </w:tblGrid>
      <w:tr w:rsidR="00280DC6" w:rsidRPr="002D43C0" w14:paraId="79DEBC0C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EBDC"/>
            <w:noWrap/>
            <w:vAlign w:val="center"/>
            <w:hideMark/>
          </w:tcPr>
          <w:p w14:paraId="729C8672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E2</w:t>
            </w:r>
          </w:p>
        </w:tc>
      </w:tr>
      <w:tr w:rsidR="00BC2434" w:rsidRPr="002D43C0" w14:paraId="4A1F30A3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10348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47C2CB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88CE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138698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2D43C0" w14:paraId="336B0DE1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99B8A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CC30C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E34C9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FD5323" w14:textId="636D5C29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Pakoštane</w:t>
            </w:r>
          </w:p>
        </w:tc>
      </w:tr>
      <w:tr w:rsidR="00C97126" w:rsidRPr="002D43C0" w14:paraId="7A01AC5D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00320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B0BDA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52B2F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A78E10" w14:textId="39100BFB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20260227</w:t>
            </w:r>
          </w:p>
        </w:tc>
      </w:tr>
      <w:tr w:rsidR="00C97126" w:rsidRPr="002D43C0" w14:paraId="77A9B370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3E609A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0CAE50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88200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40CA9C" w14:textId="53A522C9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2D43C0" w14:paraId="629807A7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55B7B0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74B946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F48035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73990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E2</w:t>
            </w:r>
          </w:p>
        </w:tc>
      </w:tr>
      <w:tr w:rsidR="00BC2434" w:rsidRPr="002D43C0" w14:paraId="3B7CED19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6A704D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3239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5A6919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7EB1E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Građevinska područja izgrađena i neizgrađena, površina stambene namjene, cestovna infrastruktura, groblje</w:t>
            </w:r>
          </w:p>
        </w:tc>
      </w:tr>
      <w:tr w:rsidR="00B67265" w:rsidRPr="002D43C0" w14:paraId="6268EA51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A0B8D1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DEF083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od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BD891D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41E7DE" w14:textId="36AA6A20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2D43C0" w14:paraId="13A41A6A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F207E1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53680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A8BEC5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AB3F32" w14:textId="5F5745F2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2D43C0" w14:paraId="7DA5A0A0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95FF4B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6FAF39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Tip </w:t>
            </w: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svjetlostaja</w:t>
            </w:r>
            <w:proofErr w:type="spellEnd"/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A1E26B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77EC00" w14:textId="0E716980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2D43C0" w14:paraId="7C465B25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10183A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7E5DE2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E487C3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390374" w14:textId="5DAFAC11" w:rsidR="002D43C0" w:rsidRPr="002D43C0" w:rsidRDefault="00C772C7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5,74</w:t>
            </w:r>
          </w:p>
        </w:tc>
      </w:tr>
      <w:tr w:rsidR="00BC2434" w:rsidRPr="002D43C0" w14:paraId="07D7E862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238AC3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lastRenderedPageBreak/>
              <w:t>zaštita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F191C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C2F87A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C327BB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2D347EC3" w14:textId="77777777" w:rsidR="00456AD2" w:rsidRDefault="00456AD2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63"/>
        <w:gridCol w:w="2340"/>
        <w:gridCol w:w="1569"/>
        <w:gridCol w:w="3765"/>
      </w:tblGrid>
      <w:tr w:rsidR="00280DC6" w:rsidRPr="00CE6E77" w14:paraId="5E94AEEA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A398"/>
            <w:noWrap/>
            <w:vAlign w:val="center"/>
            <w:hideMark/>
          </w:tcPr>
          <w:p w14:paraId="0C381545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E3</w:t>
            </w:r>
          </w:p>
        </w:tc>
      </w:tr>
      <w:tr w:rsidR="00BC2434" w:rsidRPr="00CE6E77" w14:paraId="386F7B59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071F5A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4A7916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144670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DF23DC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CE6E77" w14:paraId="5D15FD47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DBE9AA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9FDA8D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02B1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D2D3D9" w14:textId="00822EAC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Pakoštane</w:t>
            </w:r>
          </w:p>
        </w:tc>
      </w:tr>
      <w:tr w:rsidR="00C97126" w:rsidRPr="00CE6E77" w14:paraId="11143FB9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277A4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D4A92C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AA140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B8EACB" w14:textId="000BFC0A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20260227</w:t>
            </w:r>
          </w:p>
        </w:tc>
      </w:tr>
      <w:tr w:rsidR="00C97126" w:rsidRPr="00CE6E77" w14:paraId="1DB6F1B3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D44B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A31120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D4EC3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77C46A" w14:textId="708F9ECC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CE6E77" w14:paraId="44E887B7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6315AE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369CA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3E18FD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517B01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E3</w:t>
            </w:r>
          </w:p>
        </w:tc>
      </w:tr>
      <w:tr w:rsidR="00BC2434" w:rsidRPr="00CE6E77" w14:paraId="79793CD0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AB53B8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B78452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5C2CC3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DE8C4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Cestovna infrastruktura, javna i društvena namjena, gospodarska namjena</w:t>
            </w:r>
          </w:p>
          <w:p w14:paraId="48477C52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</w:p>
        </w:tc>
      </w:tr>
      <w:tr w:rsidR="003B00C0" w:rsidRPr="00CE6E77" w14:paraId="5EDBE911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1EEE6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AC9C31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od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F0D52C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2EDCDD" w14:textId="155F8629" w:rsidR="003B00C0" w:rsidRPr="00B67265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3B00C0" w:rsidRPr="00CE6E77" w14:paraId="0292E675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8928C3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ED96C8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do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E5D9B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19F32D" w14:textId="07A39D26" w:rsidR="003B00C0" w:rsidRPr="00B67265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3B00C0" w:rsidRPr="00CE6E77" w14:paraId="2B0C2ACD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9FD990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6A58F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Tip </w:t>
            </w: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svjetlostaja</w:t>
            </w:r>
            <w:proofErr w:type="spellEnd"/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3923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6CE7F9" w14:textId="1FF2330F" w:rsidR="003B00C0" w:rsidRPr="00CE6E77" w:rsidRDefault="00B67265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CE6E77" w14:paraId="077C7EAB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D2D12B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AF182B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3EF047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94B8A5" w14:textId="11B10686" w:rsidR="00CE6E77" w:rsidRPr="00CE6E77" w:rsidRDefault="00C772C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0,47</w:t>
            </w:r>
          </w:p>
        </w:tc>
      </w:tr>
      <w:tr w:rsidR="00BC2434" w:rsidRPr="00CE6E77" w14:paraId="7FF030D2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1408D0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A2F138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0CF37F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E6163E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614F0DEB" w14:textId="77777777" w:rsidR="00456AD2" w:rsidRDefault="00456AD2" w:rsidP="008C4119">
      <w:pPr>
        <w:spacing w:after="0"/>
        <w:jc w:val="both"/>
      </w:pPr>
    </w:p>
    <w:p w14:paraId="12787D3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B762636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096E595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80703B5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5D0A2367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D0E1500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A355DE7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4A0F8A4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413F170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36FA34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D47595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61D89FE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0CBEA76D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22A88F26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09C5B93F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F60DC31" w14:textId="37887A39" w:rsidR="0041101C" w:rsidRPr="00692DBF" w:rsidRDefault="0041101C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>PRILOG II: SKICA GRAFIČKOG DIJELA</w:t>
      </w:r>
    </w:p>
    <w:p w14:paraId="0BF84AF9" w14:textId="48D631EB" w:rsidR="0041101C" w:rsidRDefault="009A2770" w:rsidP="005D2325">
      <w:pPr>
        <w:spacing w:after="0"/>
        <w:jc w:val="center"/>
      </w:pPr>
      <w:r w:rsidRPr="009A2770">
        <w:rPr>
          <w:noProof/>
        </w:rPr>
        <w:lastRenderedPageBreak/>
        <w:drawing>
          <wp:inline distT="0" distB="0" distL="0" distR="0" wp14:anchorId="5C45EDDE" wp14:editId="19CCD2D4">
            <wp:extent cx="8604662" cy="6064737"/>
            <wp:effectExtent l="0" t="6350" r="0" b="0"/>
            <wp:docPr id="2071967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67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5172" cy="60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0D62" w14:textId="0AA8DCAE" w:rsidR="000F7CEF" w:rsidRPr="00692DBF" w:rsidRDefault="000F7CEF" w:rsidP="000F7CEF">
      <w:pPr>
        <w:ind w:right="281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>PRILOG II</w:t>
      </w:r>
      <w:r>
        <w:rPr>
          <w:rFonts w:ascii="Aptos" w:hAnsi="Aptos"/>
          <w:b/>
          <w:bCs/>
          <w:sz w:val="24"/>
          <w:szCs w:val="24"/>
        </w:rPr>
        <w:t>I</w:t>
      </w:r>
      <w:r w:rsidRPr="00692DBF">
        <w:rPr>
          <w:rFonts w:ascii="Aptos" w:hAnsi="Aptos"/>
          <w:b/>
          <w:bCs/>
          <w:sz w:val="24"/>
          <w:szCs w:val="24"/>
        </w:rPr>
        <w:t xml:space="preserve">: </w:t>
      </w:r>
      <w:r>
        <w:rPr>
          <w:rFonts w:ascii="Aptos" w:hAnsi="Aptos"/>
          <w:b/>
          <w:bCs/>
          <w:sz w:val="24"/>
          <w:szCs w:val="24"/>
        </w:rPr>
        <w:t>REZULTATI SAVJETOVANJA SA JAVNOŠĆU</w:t>
      </w:r>
    </w:p>
    <w:p w14:paraId="33A36471" w14:textId="77777777" w:rsidR="000F7CEF" w:rsidRPr="008C4119" w:rsidRDefault="000F7CEF" w:rsidP="005D2325">
      <w:pPr>
        <w:spacing w:after="0"/>
        <w:jc w:val="center"/>
      </w:pPr>
    </w:p>
    <w:sectPr w:rsidR="000F7CEF" w:rsidRPr="008C4119" w:rsidSect="002D43C0">
      <w:headerReference w:type="default" r:id="rId10"/>
      <w:footerReference w:type="default" r:id="rId11"/>
      <w:pgSz w:w="11910" w:h="16840"/>
      <w:pgMar w:top="1276" w:right="1278" w:bottom="280" w:left="127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FB0EE" w14:textId="77777777" w:rsidR="00273CC5" w:rsidRDefault="00273CC5" w:rsidP="00B3675E">
      <w:pPr>
        <w:spacing w:after="0" w:line="240" w:lineRule="auto"/>
      </w:pPr>
      <w:r>
        <w:separator/>
      </w:r>
    </w:p>
  </w:endnote>
  <w:endnote w:type="continuationSeparator" w:id="0">
    <w:p w14:paraId="25DEB495" w14:textId="77777777" w:rsidR="00273CC5" w:rsidRDefault="00273CC5" w:rsidP="00B3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0" w:type="auto"/>
      <w:jc w:val="right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47"/>
    </w:tblGrid>
    <w:tr w:rsidR="008D1588" w14:paraId="2DF46EFB" w14:textId="77777777" w:rsidTr="001534D1">
      <w:trPr>
        <w:jc w:val="right"/>
      </w:trPr>
      <w:tc>
        <w:tcPr>
          <w:tcW w:w="934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C6DDE42" w14:textId="417CD4E7" w:rsidR="001534D1" w:rsidRDefault="001534D1" w:rsidP="001534D1">
          <w:pPr>
            <w:pStyle w:val="Podnoje"/>
            <w:jc w:val="right"/>
          </w:pPr>
          <w:r w:rsidRPr="001534D1">
            <w:fldChar w:fldCharType="begin"/>
          </w:r>
          <w:r w:rsidRPr="001534D1">
            <w:instrText>PAGE   \* MERGEFORMAT</w:instrText>
          </w:r>
          <w:r w:rsidRPr="001534D1">
            <w:fldChar w:fldCharType="separate"/>
          </w:r>
          <w:r w:rsidRPr="001534D1">
            <w:t>1</w:t>
          </w:r>
          <w:r w:rsidRPr="001534D1">
            <w:fldChar w:fldCharType="end"/>
          </w:r>
        </w:p>
      </w:tc>
    </w:tr>
  </w:tbl>
  <w:p w14:paraId="595001AB" w14:textId="77777777" w:rsidR="00B3675E" w:rsidRDefault="00B3675E" w:rsidP="001534D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9D370" w14:textId="77777777" w:rsidR="00273CC5" w:rsidRDefault="00273CC5" w:rsidP="00B3675E">
      <w:pPr>
        <w:spacing w:after="0" w:line="240" w:lineRule="auto"/>
      </w:pPr>
      <w:r>
        <w:separator/>
      </w:r>
    </w:p>
  </w:footnote>
  <w:footnote w:type="continuationSeparator" w:id="0">
    <w:p w14:paraId="60F29C01" w14:textId="77777777" w:rsidR="00273CC5" w:rsidRDefault="00273CC5" w:rsidP="00B36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656FD" w14:textId="48A3BEFB" w:rsidR="00F342BF" w:rsidRPr="00056C8D" w:rsidRDefault="00F342BF" w:rsidP="00F342BF">
    <w:pPr>
      <w:jc w:val="both"/>
      <w:rPr>
        <w:b/>
        <w:bCs/>
        <w:i/>
        <w:iCs/>
      </w:rPr>
    </w:pPr>
    <w:r w:rsidRPr="00056C8D">
      <w:rPr>
        <w:b/>
        <w:bCs/>
        <w:i/>
        <w:iCs/>
      </w:rPr>
      <w:t xml:space="preserve">Nacrt prijedloga Odluke o donošenju Plana rasvjete na području Općine Pakoštane </w:t>
    </w:r>
  </w:p>
  <w:p w14:paraId="028915BB" w14:textId="130F2FA6" w:rsidR="00F342BF" w:rsidRDefault="00F342BF">
    <w:pPr>
      <w:pStyle w:val="Zaglavlje"/>
    </w:pPr>
  </w:p>
  <w:p w14:paraId="3A87DB9B" w14:textId="77777777" w:rsidR="00F342BF" w:rsidRDefault="00F342B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35A"/>
    <w:multiLevelType w:val="multilevel"/>
    <w:tmpl w:val="CD14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51341"/>
    <w:multiLevelType w:val="multilevel"/>
    <w:tmpl w:val="B752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231585"/>
    <w:multiLevelType w:val="multilevel"/>
    <w:tmpl w:val="81949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D24ADE"/>
    <w:multiLevelType w:val="multilevel"/>
    <w:tmpl w:val="22AC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B015F7"/>
    <w:multiLevelType w:val="multilevel"/>
    <w:tmpl w:val="C19C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2321F"/>
    <w:multiLevelType w:val="multilevel"/>
    <w:tmpl w:val="2430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02029"/>
    <w:multiLevelType w:val="multilevel"/>
    <w:tmpl w:val="1114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76306C"/>
    <w:multiLevelType w:val="multilevel"/>
    <w:tmpl w:val="9E94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113707"/>
    <w:multiLevelType w:val="hybridMultilevel"/>
    <w:tmpl w:val="38D0E62C"/>
    <w:lvl w:ilvl="0" w:tplc="697E960E">
      <w:start w:val="5"/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03E88"/>
    <w:multiLevelType w:val="hybridMultilevel"/>
    <w:tmpl w:val="BF4C6DC4"/>
    <w:lvl w:ilvl="0" w:tplc="2C8A2BAC">
      <w:start w:val="4"/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5CA9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6775E6B"/>
    <w:multiLevelType w:val="multilevel"/>
    <w:tmpl w:val="07B6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7A383F"/>
    <w:multiLevelType w:val="hybridMultilevel"/>
    <w:tmpl w:val="27DEF5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465D8"/>
    <w:multiLevelType w:val="multilevel"/>
    <w:tmpl w:val="AF303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136BFA"/>
    <w:multiLevelType w:val="hybridMultilevel"/>
    <w:tmpl w:val="5F9A3562"/>
    <w:lvl w:ilvl="0" w:tplc="94A60918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4215A7E"/>
    <w:multiLevelType w:val="multilevel"/>
    <w:tmpl w:val="C7A2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3A711F"/>
    <w:multiLevelType w:val="hybridMultilevel"/>
    <w:tmpl w:val="4648B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9883076">
    <w:abstractNumId w:val="12"/>
  </w:num>
  <w:num w:numId="2" w16cid:durableId="517239586">
    <w:abstractNumId w:val="16"/>
  </w:num>
  <w:num w:numId="3" w16cid:durableId="233131798">
    <w:abstractNumId w:val="10"/>
  </w:num>
  <w:num w:numId="4" w16cid:durableId="278924735">
    <w:abstractNumId w:val="9"/>
  </w:num>
  <w:num w:numId="5" w16cid:durableId="1155878471">
    <w:abstractNumId w:val="8"/>
  </w:num>
  <w:num w:numId="6" w16cid:durableId="225605580">
    <w:abstractNumId w:val="7"/>
  </w:num>
  <w:num w:numId="7" w16cid:durableId="1625191272">
    <w:abstractNumId w:val="3"/>
  </w:num>
  <w:num w:numId="8" w16cid:durableId="592935009">
    <w:abstractNumId w:val="5"/>
  </w:num>
  <w:num w:numId="9" w16cid:durableId="1663041900">
    <w:abstractNumId w:val="1"/>
  </w:num>
  <w:num w:numId="10" w16cid:durableId="1480271742">
    <w:abstractNumId w:val="13"/>
  </w:num>
  <w:num w:numId="11" w16cid:durableId="166215708">
    <w:abstractNumId w:val="2"/>
  </w:num>
  <w:num w:numId="12" w16cid:durableId="464549907">
    <w:abstractNumId w:val="4"/>
  </w:num>
  <w:num w:numId="13" w16cid:durableId="1145312388">
    <w:abstractNumId w:val="14"/>
  </w:num>
  <w:num w:numId="14" w16cid:durableId="861432989">
    <w:abstractNumId w:val="6"/>
  </w:num>
  <w:num w:numId="15" w16cid:durableId="265965323">
    <w:abstractNumId w:val="15"/>
  </w:num>
  <w:num w:numId="16" w16cid:durableId="1388997010">
    <w:abstractNumId w:val="11"/>
  </w:num>
  <w:num w:numId="17" w16cid:durableId="2028288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1F3"/>
    <w:rsid w:val="00005CD5"/>
    <w:rsid w:val="00010A24"/>
    <w:rsid w:val="0001208E"/>
    <w:rsid w:val="000159EF"/>
    <w:rsid w:val="0002031D"/>
    <w:rsid w:val="00021A58"/>
    <w:rsid w:val="00021B80"/>
    <w:rsid w:val="00037A47"/>
    <w:rsid w:val="00054C64"/>
    <w:rsid w:val="00056C8D"/>
    <w:rsid w:val="00062CF9"/>
    <w:rsid w:val="000737FC"/>
    <w:rsid w:val="0007637E"/>
    <w:rsid w:val="00076457"/>
    <w:rsid w:val="00086C2B"/>
    <w:rsid w:val="000A022D"/>
    <w:rsid w:val="000C4685"/>
    <w:rsid w:val="000C48B2"/>
    <w:rsid w:val="000D21E3"/>
    <w:rsid w:val="000D5526"/>
    <w:rsid w:val="000D5C8D"/>
    <w:rsid w:val="000E5771"/>
    <w:rsid w:val="000E5AB9"/>
    <w:rsid w:val="000E5F9A"/>
    <w:rsid w:val="000F327B"/>
    <w:rsid w:val="000F7CEF"/>
    <w:rsid w:val="00101CB4"/>
    <w:rsid w:val="0015301F"/>
    <w:rsid w:val="001534D1"/>
    <w:rsid w:val="00182FFB"/>
    <w:rsid w:val="00184462"/>
    <w:rsid w:val="00184C76"/>
    <w:rsid w:val="001B3DE8"/>
    <w:rsid w:val="001D39C3"/>
    <w:rsid w:val="001D5912"/>
    <w:rsid w:val="001E00DB"/>
    <w:rsid w:val="00216E3B"/>
    <w:rsid w:val="002210B8"/>
    <w:rsid w:val="002278C4"/>
    <w:rsid w:val="00273CC5"/>
    <w:rsid w:val="00280DC6"/>
    <w:rsid w:val="00281322"/>
    <w:rsid w:val="00281CD3"/>
    <w:rsid w:val="00282B16"/>
    <w:rsid w:val="0028795C"/>
    <w:rsid w:val="00295632"/>
    <w:rsid w:val="002962B9"/>
    <w:rsid w:val="002A1F62"/>
    <w:rsid w:val="002B4F26"/>
    <w:rsid w:val="002D2926"/>
    <w:rsid w:val="002D417B"/>
    <w:rsid w:val="002D43C0"/>
    <w:rsid w:val="002D5CB1"/>
    <w:rsid w:val="002D5D60"/>
    <w:rsid w:val="002E2435"/>
    <w:rsid w:val="002E5913"/>
    <w:rsid w:val="003009AF"/>
    <w:rsid w:val="003020BA"/>
    <w:rsid w:val="00303A78"/>
    <w:rsid w:val="00304C6C"/>
    <w:rsid w:val="003106E3"/>
    <w:rsid w:val="0032601C"/>
    <w:rsid w:val="00334F88"/>
    <w:rsid w:val="003357A9"/>
    <w:rsid w:val="00340A98"/>
    <w:rsid w:val="00377399"/>
    <w:rsid w:val="003A60D0"/>
    <w:rsid w:val="003B00C0"/>
    <w:rsid w:val="003B2663"/>
    <w:rsid w:val="003D0A91"/>
    <w:rsid w:val="004064A1"/>
    <w:rsid w:val="0041101C"/>
    <w:rsid w:val="00415554"/>
    <w:rsid w:val="00441020"/>
    <w:rsid w:val="0044614F"/>
    <w:rsid w:val="004535BB"/>
    <w:rsid w:val="00456610"/>
    <w:rsid w:val="00456AD2"/>
    <w:rsid w:val="004652D3"/>
    <w:rsid w:val="0047436A"/>
    <w:rsid w:val="00474C83"/>
    <w:rsid w:val="00486451"/>
    <w:rsid w:val="004A1361"/>
    <w:rsid w:val="004C32A1"/>
    <w:rsid w:val="004C4FC3"/>
    <w:rsid w:val="004C6A11"/>
    <w:rsid w:val="004C7190"/>
    <w:rsid w:val="004E02DA"/>
    <w:rsid w:val="004E5399"/>
    <w:rsid w:val="004E5FE8"/>
    <w:rsid w:val="004F0FBD"/>
    <w:rsid w:val="004F230B"/>
    <w:rsid w:val="00500285"/>
    <w:rsid w:val="005045E2"/>
    <w:rsid w:val="00514E0F"/>
    <w:rsid w:val="00526C2E"/>
    <w:rsid w:val="00534C0F"/>
    <w:rsid w:val="00547F62"/>
    <w:rsid w:val="00560201"/>
    <w:rsid w:val="00561D28"/>
    <w:rsid w:val="00564830"/>
    <w:rsid w:val="005868F5"/>
    <w:rsid w:val="00592425"/>
    <w:rsid w:val="005B0736"/>
    <w:rsid w:val="005B217B"/>
    <w:rsid w:val="005C54AE"/>
    <w:rsid w:val="005C71DB"/>
    <w:rsid w:val="005D2325"/>
    <w:rsid w:val="005E0630"/>
    <w:rsid w:val="005F52CE"/>
    <w:rsid w:val="006045BF"/>
    <w:rsid w:val="00604990"/>
    <w:rsid w:val="006121A8"/>
    <w:rsid w:val="00643BFE"/>
    <w:rsid w:val="006530B0"/>
    <w:rsid w:val="006530D0"/>
    <w:rsid w:val="006611B8"/>
    <w:rsid w:val="006618AE"/>
    <w:rsid w:val="00675B15"/>
    <w:rsid w:val="006869EF"/>
    <w:rsid w:val="006949E2"/>
    <w:rsid w:val="006B1414"/>
    <w:rsid w:val="006D0508"/>
    <w:rsid w:val="006D1BA4"/>
    <w:rsid w:val="006E149F"/>
    <w:rsid w:val="006E3B90"/>
    <w:rsid w:val="006E4889"/>
    <w:rsid w:val="00700E6A"/>
    <w:rsid w:val="00701D2F"/>
    <w:rsid w:val="007021E2"/>
    <w:rsid w:val="00707F67"/>
    <w:rsid w:val="0071615B"/>
    <w:rsid w:val="00725854"/>
    <w:rsid w:val="00727CB5"/>
    <w:rsid w:val="00741099"/>
    <w:rsid w:val="00745D16"/>
    <w:rsid w:val="007636BE"/>
    <w:rsid w:val="00763939"/>
    <w:rsid w:val="0076639D"/>
    <w:rsid w:val="00773033"/>
    <w:rsid w:val="0078765D"/>
    <w:rsid w:val="00787F51"/>
    <w:rsid w:val="007A4586"/>
    <w:rsid w:val="007A7B64"/>
    <w:rsid w:val="007B6974"/>
    <w:rsid w:val="007C1E7E"/>
    <w:rsid w:val="007D3143"/>
    <w:rsid w:val="007E0035"/>
    <w:rsid w:val="007E1AAA"/>
    <w:rsid w:val="007F342C"/>
    <w:rsid w:val="007F5D79"/>
    <w:rsid w:val="00803E33"/>
    <w:rsid w:val="00810483"/>
    <w:rsid w:val="00813B69"/>
    <w:rsid w:val="00815C2B"/>
    <w:rsid w:val="0081670D"/>
    <w:rsid w:val="00835E77"/>
    <w:rsid w:val="00846684"/>
    <w:rsid w:val="00846941"/>
    <w:rsid w:val="00855301"/>
    <w:rsid w:val="008660FA"/>
    <w:rsid w:val="00871B5C"/>
    <w:rsid w:val="008867B8"/>
    <w:rsid w:val="008949ED"/>
    <w:rsid w:val="008A6BD6"/>
    <w:rsid w:val="008B09CE"/>
    <w:rsid w:val="008B0AFE"/>
    <w:rsid w:val="008B4588"/>
    <w:rsid w:val="008B7C72"/>
    <w:rsid w:val="008C4119"/>
    <w:rsid w:val="008D1588"/>
    <w:rsid w:val="008D60D6"/>
    <w:rsid w:val="008E5298"/>
    <w:rsid w:val="008F0ECF"/>
    <w:rsid w:val="00906C18"/>
    <w:rsid w:val="009126AB"/>
    <w:rsid w:val="00920428"/>
    <w:rsid w:val="00924BA8"/>
    <w:rsid w:val="009262D4"/>
    <w:rsid w:val="0094090C"/>
    <w:rsid w:val="00953237"/>
    <w:rsid w:val="00954BE0"/>
    <w:rsid w:val="00955C01"/>
    <w:rsid w:val="009707ED"/>
    <w:rsid w:val="00974229"/>
    <w:rsid w:val="00977A5B"/>
    <w:rsid w:val="009A2076"/>
    <w:rsid w:val="009A2770"/>
    <w:rsid w:val="009A7302"/>
    <w:rsid w:val="009B1A32"/>
    <w:rsid w:val="009C0384"/>
    <w:rsid w:val="009C0624"/>
    <w:rsid w:val="009F088F"/>
    <w:rsid w:val="009F4924"/>
    <w:rsid w:val="00A11036"/>
    <w:rsid w:val="00A152CD"/>
    <w:rsid w:val="00A34B00"/>
    <w:rsid w:val="00A36573"/>
    <w:rsid w:val="00A52BE5"/>
    <w:rsid w:val="00A52EE9"/>
    <w:rsid w:val="00A6022F"/>
    <w:rsid w:val="00A77899"/>
    <w:rsid w:val="00A77A03"/>
    <w:rsid w:val="00A854EE"/>
    <w:rsid w:val="00A96220"/>
    <w:rsid w:val="00AA0B5F"/>
    <w:rsid w:val="00AB0CD0"/>
    <w:rsid w:val="00AC0103"/>
    <w:rsid w:val="00AC2878"/>
    <w:rsid w:val="00AD283C"/>
    <w:rsid w:val="00B01764"/>
    <w:rsid w:val="00B04029"/>
    <w:rsid w:val="00B051DA"/>
    <w:rsid w:val="00B10DAE"/>
    <w:rsid w:val="00B3675E"/>
    <w:rsid w:val="00B57991"/>
    <w:rsid w:val="00B61898"/>
    <w:rsid w:val="00B67265"/>
    <w:rsid w:val="00B83DCB"/>
    <w:rsid w:val="00B93CB9"/>
    <w:rsid w:val="00BA30DA"/>
    <w:rsid w:val="00BA44DE"/>
    <w:rsid w:val="00BA57A0"/>
    <w:rsid w:val="00BB4ED4"/>
    <w:rsid w:val="00BC2434"/>
    <w:rsid w:val="00BD1DB8"/>
    <w:rsid w:val="00C02043"/>
    <w:rsid w:val="00C0270E"/>
    <w:rsid w:val="00C05558"/>
    <w:rsid w:val="00C101BF"/>
    <w:rsid w:val="00C10B87"/>
    <w:rsid w:val="00C23570"/>
    <w:rsid w:val="00C24649"/>
    <w:rsid w:val="00C3314B"/>
    <w:rsid w:val="00C37C91"/>
    <w:rsid w:val="00C51907"/>
    <w:rsid w:val="00C57704"/>
    <w:rsid w:val="00C772C7"/>
    <w:rsid w:val="00C84FAD"/>
    <w:rsid w:val="00C97126"/>
    <w:rsid w:val="00CB628D"/>
    <w:rsid w:val="00CB62C2"/>
    <w:rsid w:val="00CC268A"/>
    <w:rsid w:val="00CC46FF"/>
    <w:rsid w:val="00CC5978"/>
    <w:rsid w:val="00CE6E77"/>
    <w:rsid w:val="00CE7101"/>
    <w:rsid w:val="00CF38D0"/>
    <w:rsid w:val="00CF7A76"/>
    <w:rsid w:val="00D11875"/>
    <w:rsid w:val="00D21EFC"/>
    <w:rsid w:val="00D519E5"/>
    <w:rsid w:val="00D73AA0"/>
    <w:rsid w:val="00DA26CC"/>
    <w:rsid w:val="00DA6229"/>
    <w:rsid w:val="00DB6A19"/>
    <w:rsid w:val="00DC10E7"/>
    <w:rsid w:val="00DF6723"/>
    <w:rsid w:val="00DF6BE7"/>
    <w:rsid w:val="00E04F40"/>
    <w:rsid w:val="00E07E02"/>
    <w:rsid w:val="00E1071A"/>
    <w:rsid w:val="00E11A80"/>
    <w:rsid w:val="00E23F08"/>
    <w:rsid w:val="00E325C5"/>
    <w:rsid w:val="00E33E97"/>
    <w:rsid w:val="00E41A3C"/>
    <w:rsid w:val="00E47EFF"/>
    <w:rsid w:val="00E51DBF"/>
    <w:rsid w:val="00E74E4A"/>
    <w:rsid w:val="00E855C1"/>
    <w:rsid w:val="00E85635"/>
    <w:rsid w:val="00EB0BBE"/>
    <w:rsid w:val="00EC2929"/>
    <w:rsid w:val="00EC3A9E"/>
    <w:rsid w:val="00ED6710"/>
    <w:rsid w:val="00EE53F4"/>
    <w:rsid w:val="00EE5F09"/>
    <w:rsid w:val="00EF3473"/>
    <w:rsid w:val="00EF50FB"/>
    <w:rsid w:val="00F02AAE"/>
    <w:rsid w:val="00F0583C"/>
    <w:rsid w:val="00F122C4"/>
    <w:rsid w:val="00F165A7"/>
    <w:rsid w:val="00F26560"/>
    <w:rsid w:val="00F27AD6"/>
    <w:rsid w:val="00F342BF"/>
    <w:rsid w:val="00F37777"/>
    <w:rsid w:val="00F70F42"/>
    <w:rsid w:val="00F71A6C"/>
    <w:rsid w:val="00F82836"/>
    <w:rsid w:val="00F94BBB"/>
    <w:rsid w:val="00F964BE"/>
    <w:rsid w:val="00F96FA5"/>
    <w:rsid w:val="00FB3008"/>
    <w:rsid w:val="00FB5724"/>
    <w:rsid w:val="00FB71F3"/>
    <w:rsid w:val="00FD125C"/>
    <w:rsid w:val="00FD1BA1"/>
    <w:rsid w:val="00FD2604"/>
    <w:rsid w:val="00FD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CDA2A"/>
  <w15:chartTrackingRefBased/>
  <w15:docId w15:val="{A58170ED-2568-412B-884B-026DE052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B7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B7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B71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B7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B71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B7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B7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B7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B7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B71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B71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FB71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B71F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B71F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B71F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B71F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B71F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B71F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B7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B7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B7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B7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B7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B71F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B71F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B71F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B71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B71F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B71F3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FB71F3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B71F3"/>
    <w:rPr>
      <w:color w:val="605E5C"/>
      <w:shd w:val="clear" w:color="auto" w:fill="E1DFDD"/>
    </w:rPr>
  </w:style>
  <w:style w:type="paragraph" w:customStyle="1" w:styleId="Default">
    <w:name w:val="Default"/>
    <w:rsid w:val="00010A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pacing w:val="-3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B367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3675E"/>
  </w:style>
  <w:style w:type="paragraph" w:styleId="Podnoje">
    <w:name w:val="footer"/>
    <w:basedOn w:val="Normal"/>
    <w:link w:val="PodnojeChar"/>
    <w:uiPriority w:val="99"/>
    <w:unhideWhenUsed/>
    <w:rsid w:val="00B367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3675E"/>
  </w:style>
  <w:style w:type="table" w:styleId="Reetkatablice">
    <w:name w:val="Table Grid"/>
    <w:basedOn w:val="Obinatablica"/>
    <w:uiPriority w:val="59"/>
    <w:rsid w:val="003D0A91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cina-pakostane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zeningdoo-my.sharepoint.com/personal/josip_susnja_zeningdoo_onmicrosoft_com/Documents/ZENING%20PROJEKT/PLAN%20RASVJETE%20I%20AKCIJSKI%20PLAN/OP&#262;INA%20PAKO&#352;TANE/BILANCA%20POKRIVENOST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List1!$C$2</c:f>
              <c:strCache>
                <c:ptCount val="1"/>
                <c:pt idx="0">
                  <c:v>POVRŠINA (km2)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B8-4C3C-9DB4-89D3D7A1BA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B8-4C3C-9DB4-89D3D7A1BA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3B8-4C3C-9DB4-89D3D7A1BAB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3B8-4C3C-9DB4-89D3D7A1BAB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3B8-4C3C-9DB4-89D3D7A1BAB0}"/>
              </c:ext>
            </c:extLst>
          </c:dPt>
          <c:cat>
            <c:strRef>
              <c:f>List1!$B$3:$B$7</c:f>
              <c:strCache>
                <c:ptCount val="5"/>
                <c:pt idx="0">
                  <c:v>E0</c:v>
                </c:pt>
                <c:pt idx="1">
                  <c:v>E1</c:v>
                </c:pt>
                <c:pt idx="2">
                  <c:v>E2</c:v>
                </c:pt>
                <c:pt idx="3">
                  <c:v>E3</c:v>
                </c:pt>
                <c:pt idx="4">
                  <c:v>E4</c:v>
                </c:pt>
              </c:strCache>
            </c:strRef>
          </c:cat>
          <c:val>
            <c:numRef>
              <c:f>List1!$C$3:$C$7</c:f>
              <c:numCache>
                <c:formatCode>General</c:formatCode>
                <c:ptCount val="5"/>
                <c:pt idx="0">
                  <c:v>70.56</c:v>
                </c:pt>
                <c:pt idx="1">
                  <c:v>6.72</c:v>
                </c:pt>
                <c:pt idx="2">
                  <c:v>5.74</c:v>
                </c:pt>
                <c:pt idx="3">
                  <c:v>0.47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3B8-4C3C-9DB4-89D3D7A1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3046</Words>
  <Characters>17363</Characters>
  <Application>Microsoft Office Word</Application>
  <DocSecurity>0</DocSecurity>
  <Lines>144</Lines>
  <Paragraphs>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20369</CharactersWithSpaces>
  <SharedDoc>false</SharedDoc>
  <HLinks>
    <vt:vector size="18" baseType="variant">
      <vt:variant>
        <vt:i4>6881406</vt:i4>
      </vt:variant>
      <vt:variant>
        <vt:i4>6</vt:i4>
      </vt:variant>
      <vt:variant>
        <vt:i4>0</vt:i4>
      </vt:variant>
      <vt:variant>
        <vt:i4>5</vt:i4>
      </vt:variant>
      <vt:variant>
        <vt:lpwstr>https://dugoselo.hr/upravni-odjel-za-financije-i-komunalno-gospodarstvo/~/upravni-odjel-za-financije-i-komunalno-gospodarstvo/</vt:lpwstr>
      </vt:variant>
      <vt:variant>
        <vt:lpwstr/>
      </vt:variant>
      <vt:variant>
        <vt:i4>7012392</vt:i4>
      </vt:variant>
      <vt:variant>
        <vt:i4>3</vt:i4>
      </vt:variant>
      <vt:variant>
        <vt:i4>0</vt:i4>
      </vt:variant>
      <vt:variant>
        <vt:i4>5</vt:i4>
      </vt:variant>
      <vt:variant>
        <vt:lpwstr>http://www.dugoselo.hr/</vt:lpwstr>
      </vt:variant>
      <vt:variant>
        <vt:lpwstr/>
      </vt:variant>
      <vt:variant>
        <vt:i4>1114188</vt:i4>
      </vt:variant>
      <vt:variant>
        <vt:i4>0</vt:i4>
      </vt:variant>
      <vt:variant>
        <vt:i4>0</vt:i4>
      </vt:variant>
      <vt:variant>
        <vt:i4>5</vt:i4>
      </vt:variant>
      <vt:variant>
        <vt:lpwstr>http://pisarnicadugoselo.hr;/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Šušnja</dc:creator>
  <cp:keywords/>
  <dc:description/>
  <cp:lastModifiedBy>Općina Pakoštane</cp:lastModifiedBy>
  <cp:revision>2</cp:revision>
  <dcterms:created xsi:type="dcterms:W3CDTF">2026-05-14T06:44:00Z</dcterms:created>
  <dcterms:modified xsi:type="dcterms:W3CDTF">2026-05-14T06:44:00Z</dcterms:modified>
</cp:coreProperties>
</file>